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5"/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0"/>
          <w:szCs w:val="4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5"/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0"/>
          <w:szCs w:val="4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5"/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0"/>
          <w:szCs w:val="40"/>
          <w:lang w:val="en-US" w:eastAsia="zh-CN"/>
        </w:rPr>
      </w:pPr>
      <w:r>
        <w:rPr>
          <w:rStyle w:val="5"/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0"/>
          <w:szCs w:val="40"/>
        </w:rPr>
        <w:t>深圳市第一职业技术学校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5"/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Style w:val="5"/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0"/>
          <w:szCs w:val="40"/>
        </w:rPr>
        <w:t>学分积累与转换制度试点工作方案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Style w:val="5"/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0"/>
          <w:szCs w:val="4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instrText xml:space="preserve"> HYPERLINK "about:blank"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为了贯彻落实《国家职业教育改革实施方案》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等文件精神，探索建立科学合理、规范有效、灵活多样的学分积累与转换制度，实现学习成果的积累、存储、认证和转换，畅通职业教育发展通道，提高职业教育质量和水平，根据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深圳第一职业教育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集团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的工作安排，结合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实际，特制定本方案。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一、指导思想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以习近平新时代中国特色社会主义思想为指导，全面贯彻党的十九大和十九届二中、三中、四中、五中全会精神，坚持以立德树人为根本任务，坚持以学生为本，坚持以需求为导向，坚持以质量为核心，坚持以改革创新为动力，坚持以开放共享为原则，积极参与深圳市学分积累与转换制度试点工作，探索适合我校特点和需求的学分积累与转换制度模式和机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二、试点目标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通过试点工作，达到以下目标：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（1）建立健全我校学分积累与转换制度的管理体系和运行机制，明确学分积累与转换制度的目标定位、基本原则、操作规范等。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（2）完善我校课程体系和课程设置，优化课程内容和课程质量，提高课程的适应性和灵活性。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（3）建立有效的学习成果认证机制和学分转换机制，实现我校内部不同专业之间、我校与其他高等院校之间、我校与非学历教育之间的学分互认和兑换。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（4）拓展我校学生的继续教育和终身学习渠道，满足我校学生多样化、个性化、终身化的学习需求。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三、试点内容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instrText xml:space="preserve"> HYPERLINK "about:blank"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（1）开展课程体系改革。按照国家职业教育课程标准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instrText xml:space="preserve"> HYPERLINK "about:blank"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和深圳市职业教育课程改革要求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，对我校现有课程体系进行梳理和调整，形成符合国家标准、适应市场需求、体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现专业特色的课程体系。将课程分为公共基础课程、专业基础课程、专业核心课程和专业选修课程四类，并按照不同类别确定相应的课程性质、课程代码、课程类型、课程属性等。将每门课程按照一定比例划分为理论教学部分和实践教学部分，并按照学时数和难度系数确定每门课程的学分值。建立我校课程库，将所有课程的相关信息录入课程库，方便课程管理和查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2）开展学习成果认证工作。建立科学合理的学习成果认证标准和程序，对我校学生在校内外取得的各类学习成果进行认证，并将认证结果记录在个人学习账号中。对于校内课程的学习成果，采用考试、考查、评价等方式进行认证，按照课程性质和课程属性确定合理的评价方法和评价标准。对于校外课程的学习成果，如职业培训、资格证书、在线学习等，采用对接、比对、折算等方式进行认证，按照国家和地方的相关规定确定合理的认证方法和认证标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3）开展学分转换工作。建立灵活多样的学分转换方式，包括课程对应转换、课程等级转换、课程模块转换等，实现我校内部不同专业之间、我校与其他高等院校之间、我校与非学历教育之间的学分互认和兑换。对于我校内部不同专业之间的学分转换，采用课程对应转换或课程等级转换方式，按照课程代码、课程类型、课程属性等确定合理的转换方法和转换标准。对于我校与其他高等院校之间的学分转换，采用课程对应转换或课程模块转换方式，按照双方签订的协议确定合理的转换方法和转换标准。对于我校与非学历教育之间的学分转换，采用折算或补考方式，按照国家和地方的相关规定确定合理的转换方法和转换标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4）开展试点评估工作。建立完善的试点评估体系和机制，加强对试点工作的监督检查和评估考核，及时总结试点经验和问题，不断完善和优化试点方案。采用定性和定量相结合的方法，从试点目标、试点内容、试点效果等方面进行综合评估。采用问卷调查、访谈座谈、数据分析等方式，收集各方面的反馈意见和建议。定期向深圳市教育局报送试点工作进展情况和评估结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四、试点要求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（1）提高政治站位，增强责任感。要充分认识学分积累与转换制度建设的重要意义和紧迫性，把握国家和地方的政策导向和发展机遇，把参与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深圳第一职教集团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学分积累与转换制度试点工作作为一项重大的改革创新举措，作为一项提升职业教育质量和水平的关键举措，作为一项满足学生多样化、个性化、终身化学习需求的基本举措，作为一项促进职业教育内部和外部衔接的有效举措，作为一项推动职业教育高质量发展的必要举措，切实增强责任感和使命感，积极主动地投入到试点工作中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（2）加强组织领导，明确工作职责。要成立我校学分积累与转换制度试点工作领导小组，由校党委书记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校长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担任组长，副校长担任副组长，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教师发展部、学生发展部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等相关部门负责人担任成员，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各专业部长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担任办公室成员。要明确各部门、各专业在试点工作中的工作职责和任务分工，形成工作合力。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3）科学制定方案，确保工作质量。要根据试点工作的目标和内容，科学合理地制定具体的试点方案，包括试点范围、试点时间、试点步骤、试点预算等，并按照方案要求进行细致周密的准备工作。要注重工作效果的评估和反馈，及时总结试点经验和问题，不断完善和优化试点方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4）广泛宣传推广，营造良好氛围。要充分利用我校网站、微信公众号、电子屏幕等媒体平台，及时发布试点工作的相关信息，宣传先进经验和典型案例，展示试点成果和亮点，营造浓厚的宣传氛围。要加强对教师、学生、家长等各方面的宣传教育和培训指导，增强他们对试点工作的认识和支持，提高他们参与试点工作的积极性和主动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深圳市第一职业技术学校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2020年12月28日</w:t>
      </w:r>
    </w:p>
    <w:sectPr>
      <w:footnotePr>
        <w:numFmt w:val="decimal"/>
      </w:footnotePr>
      <w:pgSz w:w="11900" w:h="16840"/>
      <w:pgMar w:top="2098" w:right="1474" w:bottom="1984" w:left="1587" w:header="3765" w:footer="2937" w:gutter="0"/>
      <w:pgNumType w:start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E06999-B06A-49F7-BAB2-AB5530AEE3F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8020F921-E6A7-4D76-8BFC-0C03F1391BDD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01017E7-4533-4E87-AD07-0A269D890EF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0NGI4MzM2ZTBkNzE1OWY2MDA0NTYyMzZhYjFjMmIifQ=="/>
  </w:docVars>
  <w:rsids>
    <w:rsidRoot w:val="1A0B0FE4"/>
    <w:rsid w:val="0BC42CAA"/>
    <w:rsid w:val="1A0B0FE4"/>
    <w:rsid w:val="1A736AA5"/>
    <w:rsid w:val="30B87609"/>
    <w:rsid w:val="3FB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2132</Words>
  <Characters>2137</Characters>
  <Lines>0</Lines>
  <Paragraphs>0</Paragraphs>
  <TotalTime>248</TotalTime>
  <ScaleCrop>false</ScaleCrop>
  <LinksUpToDate>false</LinksUpToDate>
  <CharactersWithSpaces>2137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2023-08-16T02:34:00Z</dcterms:created>
  <dc:creator>Chanchanman</dc:creator>
  <cp:lastModifiedBy>Chanchanman</cp:lastModifiedBy>
  <dcterms:modified xsi:type="dcterms:W3CDTF">2023-08-16T09:16:58Z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D8956F17E7024AD2820E94686E748AAC_13</vt:lpwstr>
  </property>
</Properties>
</file>