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艺术设计技能训练软件与素材库资源管理平台采购项目招标文件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二三年十一月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艺术设计技能训练软件与素材库资源管理平台采购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
      <w:pPr>
        <w:pStyle w:val="11"/>
      </w:pPr>
    </w:p>
    <w:tbl>
      <w:tblPr>
        <w:tblStyle w:val="17"/>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4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22"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31"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22" w:type="dxa"/>
            <w:gridSpan w:val="2"/>
            <w:vAlign w:val="center"/>
          </w:tcPr>
          <w:p>
            <w:pPr>
              <w:jc w:val="center"/>
              <w:rPr>
                <w:rFonts w:ascii="宋体" w:hAnsi="宋体" w:cs="宋体"/>
                <w:szCs w:val="21"/>
              </w:rPr>
            </w:pPr>
            <w:r>
              <w:rPr>
                <w:rFonts w:hint="eastAsia" w:ascii="宋体" w:hAnsi="宋体" w:cs="宋体"/>
                <w:kern w:val="0"/>
                <w:szCs w:val="21"/>
              </w:rPr>
              <w:t>技术规格偏离情况</w:t>
            </w:r>
          </w:p>
        </w:tc>
        <w:tc>
          <w:tcPr>
            <w:tcW w:w="1431" w:type="dxa"/>
            <w:vAlign w:val="center"/>
          </w:tcPr>
          <w:p>
            <w:pPr>
              <w:autoSpaceDE w:val="0"/>
              <w:autoSpaceDN w:val="0"/>
              <w:adjustRightInd w:val="0"/>
              <w:snapToGrid w:val="0"/>
              <w:jc w:val="center"/>
              <w:rPr>
                <w:rFonts w:ascii="宋体" w:hAnsi="宋体" w:cs="宋体"/>
                <w:kern w:val="0"/>
                <w:sz w:val="22"/>
              </w:rPr>
            </w:pPr>
            <w:r>
              <w:rPr>
                <w:rFonts w:hint="eastAsia" w:ascii="宋体" w:hAnsi="宋体" w:cs="宋体"/>
                <w:kern w:val="0"/>
                <w:szCs w:val="21"/>
              </w:rPr>
              <w:t>24</w:t>
            </w:r>
          </w:p>
        </w:tc>
        <w:tc>
          <w:tcPr>
            <w:tcW w:w="4678" w:type="dxa"/>
            <w:vAlign w:val="center"/>
          </w:tcPr>
          <w:p>
            <w:pPr>
              <w:tabs>
                <w:tab w:val="left" w:pos="2869"/>
                <w:tab w:val="left" w:pos="3010"/>
              </w:tabs>
              <w:rPr>
                <w:rFonts w:ascii="宋体" w:hAnsi="宋体" w:cs="宋体"/>
                <w:b/>
                <w:szCs w:val="21"/>
              </w:rPr>
            </w:pPr>
            <w:r>
              <w:rPr>
                <w:rFonts w:hint="eastAsia" w:ascii="宋体" w:hAnsi="宋体" w:cs="宋体"/>
                <w:b/>
                <w:szCs w:val="21"/>
              </w:rPr>
              <w:t>（一）评审内容：</w:t>
            </w:r>
          </w:p>
          <w:p>
            <w:pPr>
              <w:tabs>
                <w:tab w:val="left" w:pos="2869"/>
                <w:tab w:val="left" w:pos="3010"/>
              </w:tabs>
              <w:jc w:val="left"/>
              <w:rPr>
                <w:rFonts w:ascii="宋体" w:hAnsi="宋体" w:cs="宋体"/>
                <w:szCs w:val="21"/>
              </w:rPr>
            </w:pPr>
            <w:r>
              <w:rPr>
                <w:rFonts w:hint="eastAsia" w:ascii="宋体" w:hAnsi="宋体" w:cs="宋体"/>
                <w:szCs w:val="21"/>
              </w:rPr>
              <w:t>投标人应如实填写《技术规格偏离表》，评审专家根据技术需求参数响应情况进行评审。</w:t>
            </w:r>
          </w:p>
          <w:p>
            <w:pPr>
              <w:tabs>
                <w:tab w:val="left" w:pos="2869"/>
                <w:tab w:val="left" w:pos="3010"/>
              </w:tabs>
              <w:jc w:val="left"/>
              <w:rPr>
                <w:rFonts w:ascii="宋体" w:hAnsi="宋体" w:cs="宋体"/>
                <w:b/>
                <w:szCs w:val="21"/>
              </w:rPr>
            </w:pPr>
            <w:r>
              <w:rPr>
                <w:rFonts w:hint="eastAsia" w:ascii="宋体" w:hAnsi="宋体" w:cs="宋体"/>
                <w:b/>
                <w:szCs w:val="21"/>
              </w:rPr>
              <w:t>（二）评分标准与依据：</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完全满足招标文件要求的得24分，标注“▲”条款，每负偏离一项扣3分；未标注“▲”和“★”的为一般条款，每负偏离一项扣1分。扣完为止。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jc w:val="center"/>
              <w:rPr>
                <w:rFonts w:ascii="宋体" w:hAnsi="宋体" w:cs="宋体"/>
                <w:kern w:val="0"/>
                <w:sz w:val="22"/>
                <w:lang w:val="zh-CN"/>
              </w:rPr>
            </w:pPr>
            <w:r>
              <w:rPr>
                <w:rFonts w:hint="eastAsia" w:ascii="宋体" w:hAnsi="宋体" w:cs="宋体"/>
                <w:kern w:val="0"/>
                <w:szCs w:val="21"/>
              </w:rPr>
              <w:t>项目实施方案</w:t>
            </w:r>
          </w:p>
        </w:tc>
        <w:tc>
          <w:tcPr>
            <w:tcW w:w="1431" w:type="dxa"/>
            <w:vAlign w:val="center"/>
          </w:tcPr>
          <w:p>
            <w:pPr>
              <w:autoSpaceDE w:val="0"/>
              <w:autoSpaceDN w:val="0"/>
              <w:adjustRightInd w:val="0"/>
              <w:snapToGrid w:val="0"/>
              <w:jc w:val="center"/>
              <w:rPr>
                <w:rFonts w:ascii="宋体" w:hAnsi="宋体" w:cs="宋体"/>
                <w:kern w:val="0"/>
                <w:sz w:val="22"/>
                <w:lang w:val="zh-CN"/>
              </w:rPr>
            </w:pPr>
            <w:r>
              <w:rPr>
                <w:rFonts w:hint="eastAsia" w:ascii="宋体" w:hAnsi="宋体" w:cs="宋体"/>
                <w:kern w:val="0"/>
                <w:szCs w:val="21"/>
              </w:rPr>
              <w:t>8</w:t>
            </w:r>
          </w:p>
        </w:tc>
        <w:tc>
          <w:tcPr>
            <w:tcW w:w="4678" w:type="dxa"/>
            <w:vAlign w:val="center"/>
          </w:tcPr>
          <w:p>
            <w:pPr>
              <w:tabs>
                <w:tab w:val="left" w:pos="2869"/>
                <w:tab w:val="left" w:pos="3010"/>
              </w:tabs>
              <w:rPr>
                <w:rFonts w:ascii="宋体" w:hAnsi="宋体" w:cs="宋体"/>
                <w:b/>
                <w:szCs w:val="21"/>
              </w:rPr>
            </w:pPr>
            <w:r>
              <w:rPr>
                <w:rFonts w:hint="eastAsia" w:ascii="宋体" w:hAnsi="宋体" w:cs="宋体"/>
                <w:b/>
                <w:szCs w:val="21"/>
              </w:rPr>
              <w:t>（一）评审内容：</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在投标文件中详细说明项目实施方案，评标委员会根据响应情况进行横向比较根据投标人项目实施计划、针对性、可行性等情况进行评价。</w:t>
            </w:r>
          </w:p>
          <w:p>
            <w:pPr>
              <w:tabs>
                <w:tab w:val="left" w:pos="2869"/>
                <w:tab w:val="left" w:pos="3010"/>
              </w:tabs>
              <w:jc w:val="left"/>
            </w:pPr>
            <w:r>
              <w:rPr>
                <w:rFonts w:hint="eastAsia" w:ascii="宋体" w:hAnsi="宋体" w:cs="宋体"/>
                <w:b/>
                <w:szCs w:val="21"/>
              </w:rPr>
              <w:t>（二）评分标准与依据：</w:t>
            </w:r>
            <w:r>
              <w:rPr>
                <w:rFonts w:hint="eastAsia" w:ascii="宋体" w:hAnsi="宋体" w:cs="宋体"/>
                <w:szCs w:val="21"/>
              </w:rPr>
              <w:t xml:space="preserve"> </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项目实施方案详细具体、针对性强、合理可行，得8分；</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项目实施方案基本完整、有一定针对性、可行性一般，得4分；</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项目实施方案不完整、缺乏针对性、可行性差，得1分。</w:t>
            </w:r>
          </w:p>
          <w:p>
            <w:pPr>
              <w:autoSpaceDE w:val="0"/>
              <w:autoSpaceDN w:val="0"/>
              <w:adjustRightInd w:val="0"/>
              <w:snapToGrid w:val="0"/>
              <w:jc w:val="left"/>
              <w:rPr>
                <w:rFonts w:ascii="宋体" w:hAnsi="宋体" w:cs="宋体"/>
                <w:szCs w:val="21"/>
              </w:rPr>
            </w:pPr>
            <w:r>
              <w:rPr>
                <w:rFonts w:hint="eastAsia" w:ascii="宋体" w:hAnsi="宋体" w:cs="宋体"/>
                <w:kern w:val="0"/>
                <w:szCs w:val="21"/>
              </w:rPr>
              <w:t>不提供项目实施方案不得分。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3</w:t>
            </w:r>
          </w:p>
        </w:tc>
        <w:tc>
          <w:tcPr>
            <w:tcW w:w="1422" w:type="dxa"/>
            <w:gridSpan w:val="2"/>
            <w:vAlign w:val="center"/>
          </w:tcPr>
          <w:p>
            <w:pPr>
              <w:autoSpaceDE w:val="0"/>
              <w:autoSpaceDN w:val="0"/>
              <w:adjustRightInd w:val="0"/>
              <w:snapToGrid w:val="0"/>
              <w:jc w:val="left"/>
              <w:rPr>
                <w:rFonts w:ascii="宋体" w:hAnsi="宋体" w:cs="宋体"/>
                <w:kern w:val="0"/>
                <w:szCs w:val="21"/>
              </w:rPr>
            </w:pPr>
            <w:r>
              <w:rPr>
                <w:rFonts w:hint="eastAsia" w:ascii="宋体" w:hAnsi="宋体" w:cs="宋体"/>
                <w:kern w:val="0"/>
                <w:szCs w:val="21"/>
                <w:lang w:val="zh-CN"/>
              </w:rPr>
              <w:t>质量保证方案</w:t>
            </w:r>
          </w:p>
        </w:tc>
        <w:tc>
          <w:tcPr>
            <w:tcW w:w="1431"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8</w:t>
            </w:r>
          </w:p>
        </w:tc>
        <w:tc>
          <w:tcPr>
            <w:tcW w:w="4678" w:type="dxa"/>
            <w:vAlign w:val="center"/>
          </w:tcPr>
          <w:p>
            <w:pPr>
              <w:numPr>
                <w:ilvl w:val="0"/>
                <w:numId w:val="1"/>
              </w:numPr>
              <w:tabs>
                <w:tab w:val="left" w:pos="2869"/>
                <w:tab w:val="left" w:pos="3010"/>
              </w:tabs>
              <w:rPr>
                <w:rFonts w:ascii="宋体" w:hAnsi="宋体" w:cs="宋体"/>
                <w:b/>
                <w:szCs w:val="21"/>
              </w:rPr>
            </w:pPr>
            <w:r>
              <w:rPr>
                <w:rFonts w:hint="eastAsia" w:ascii="宋体" w:hAnsi="宋体" w:cs="宋体"/>
                <w:b/>
                <w:szCs w:val="21"/>
              </w:rPr>
              <w:t>评审内容：</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在投标文件中详细说明项目质量保证方案，评标委员会根据响应情况进行横向比较根据投标人项目质量保证计划、针对性、可行性等情况进行评价。</w:t>
            </w:r>
          </w:p>
          <w:p>
            <w:pPr>
              <w:tabs>
                <w:tab w:val="left" w:pos="2869"/>
                <w:tab w:val="left" w:pos="3010"/>
              </w:tabs>
              <w:rPr>
                <w:rFonts w:ascii="宋体" w:hAnsi="宋体" w:cs="宋体"/>
                <w:b/>
                <w:szCs w:val="21"/>
              </w:rPr>
            </w:pPr>
            <w:r>
              <w:rPr>
                <w:rFonts w:hint="eastAsia" w:ascii="宋体" w:hAnsi="宋体" w:cs="宋体"/>
                <w:b/>
                <w:szCs w:val="21"/>
              </w:rPr>
              <w:t>（二）评分标准与依据：</w:t>
            </w:r>
          </w:p>
          <w:p>
            <w:pPr>
              <w:autoSpaceDE w:val="0"/>
              <w:autoSpaceDN w:val="0"/>
              <w:adjustRightInd w:val="0"/>
              <w:snapToGrid w:val="0"/>
              <w:jc w:val="left"/>
              <w:rPr>
                <w:rFonts w:ascii="宋体" w:hAnsi="宋体" w:cs="宋体"/>
                <w:kern w:val="0"/>
                <w:szCs w:val="21"/>
                <w:lang w:val="zh-CN"/>
              </w:rPr>
            </w:pPr>
            <w:r>
              <w:rPr>
                <w:rFonts w:hint="eastAsia" w:ascii="宋体" w:hAnsi="宋体" w:cs="宋体"/>
                <w:kern w:val="0"/>
                <w:szCs w:val="21"/>
                <w:lang w:val="zh-CN"/>
              </w:rPr>
              <w:t>投标人拟制的质量保证和售后服务方案，详细具体、具有针对性、可操作性强，得</w:t>
            </w:r>
            <w:r>
              <w:rPr>
                <w:rFonts w:hint="eastAsia" w:ascii="宋体" w:hAnsi="宋体" w:cs="宋体"/>
                <w:kern w:val="0"/>
                <w:szCs w:val="21"/>
              </w:rPr>
              <w:t>8</w:t>
            </w:r>
            <w:r>
              <w:rPr>
                <w:rFonts w:hint="eastAsia" w:ascii="宋体" w:hAnsi="宋体" w:cs="宋体"/>
                <w:kern w:val="0"/>
                <w:szCs w:val="21"/>
                <w:lang w:val="zh-CN"/>
              </w:rPr>
              <w:t>分；</w:t>
            </w:r>
          </w:p>
          <w:p>
            <w:pPr>
              <w:autoSpaceDE w:val="0"/>
              <w:autoSpaceDN w:val="0"/>
              <w:adjustRightInd w:val="0"/>
              <w:snapToGrid w:val="0"/>
              <w:jc w:val="left"/>
              <w:rPr>
                <w:rFonts w:ascii="宋体" w:hAnsi="宋体" w:cs="宋体"/>
                <w:kern w:val="0"/>
                <w:szCs w:val="21"/>
                <w:lang w:val="zh-CN"/>
              </w:rPr>
            </w:pPr>
            <w:r>
              <w:rPr>
                <w:rFonts w:hint="eastAsia" w:ascii="宋体" w:hAnsi="宋体" w:cs="宋体"/>
                <w:kern w:val="0"/>
                <w:szCs w:val="21"/>
                <w:lang w:val="zh-CN"/>
              </w:rPr>
              <w:t>质量保证方案，较具体、针对性较强、操作性较强，得</w:t>
            </w:r>
            <w:r>
              <w:rPr>
                <w:rFonts w:hint="eastAsia" w:ascii="宋体" w:hAnsi="宋体" w:cs="宋体"/>
                <w:kern w:val="0"/>
                <w:szCs w:val="21"/>
              </w:rPr>
              <w:t>4</w:t>
            </w:r>
            <w:r>
              <w:rPr>
                <w:rFonts w:hint="eastAsia" w:ascii="宋体" w:hAnsi="宋体" w:cs="宋体"/>
                <w:kern w:val="0"/>
                <w:szCs w:val="21"/>
                <w:lang w:val="zh-CN"/>
              </w:rPr>
              <w:t>分；</w:t>
            </w:r>
          </w:p>
          <w:p>
            <w:pPr>
              <w:autoSpaceDE w:val="0"/>
              <w:autoSpaceDN w:val="0"/>
              <w:adjustRightInd w:val="0"/>
              <w:snapToGrid w:val="0"/>
              <w:jc w:val="left"/>
              <w:rPr>
                <w:rFonts w:ascii="宋体" w:hAnsi="宋体" w:cs="宋体"/>
                <w:kern w:val="0"/>
                <w:szCs w:val="21"/>
                <w:lang w:val="zh-CN"/>
              </w:rPr>
            </w:pPr>
            <w:r>
              <w:rPr>
                <w:rFonts w:hint="eastAsia" w:ascii="宋体" w:hAnsi="宋体" w:cs="宋体"/>
                <w:kern w:val="0"/>
                <w:szCs w:val="21"/>
                <w:lang w:val="zh-CN"/>
              </w:rPr>
              <w:t>质量保证方案一般、针对性一般、可操作性一般，得</w:t>
            </w:r>
            <w:r>
              <w:rPr>
                <w:rFonts w:hint="eastAsia" w:ascii="宋体" w:hAnsi="宋体" w:cs="宋体"/>
                <w:kern w:val="0"/>
                <w:szCs w:val="21"/>
              </w:rPr>
              <w:t>1</w:t>
            </w:r>
            <w:r>
              <w:rPr>
                <w:rFonts w:hint="eastAsia" w:ascii="宋体" w:hAnsi="宋体" w:cs="宋体"/>
                <w:kern w:val="0"/>
                <w:szCs w:val="21"/>
                <w:lang w:val="zh-CN"/>
              </w:rPr>
              <w:t>分</w:t>
            </w:r>
            <w:r>
              <w:rPr>
                <w:rFonts w:hint="eastAsia" w:ascii="宋体" w:hAnsi="宋体" w:cs="宋体"/>
                <w:kern w:val="0"/>
                <w:szCs w:val="21"/>
              </w:rPr>
              <w:t>。</w:t>
            </w:r>
          </w:p>
          <w:p>
            <w:pPr>
              <w:autoSpaceDE w:val="0"/>
              <w:autoSpaceDN w:val="0"/>
              <w:adjustRightInd w:val="0"/>
              <w:snapToGrid w:val="0"/>
              <w:jc w:val="left"/>
              <w:rPr>
                <w:rFonts w:ascii="宋体" w:hAnsi="宋体" w:cs="宋体"/>
                <w:szCs w:val="21"/>
              </w:rPr>
            </w:pPr>
            <w:r>
              <w:rPr>
                <w:rFonts w:hint="eastAsia" w:ascii="宋体" w:hAnsi="宋体" w:cs="宋体"/>
                <w:kern w:val="0"/>
                <w:szCs w:val="21"/>
                <w:lang w:val="zh-CN"/>
              </w:rPr>
              <w:t>质量保证方案差、针对性差、可操作性差，得</w:t>
            </w:r>
            <w:r>
              <w:rPr>
                <w:rFonts w:hint="eastAsia" w:ascii="宋体" w:hAnsi="宋体" w:cs="宋体"/>
                <w:kern w:val="0"/>
                <w:szCs w:val="21"/>
              </w:rPr>
              <w:t>0</w:t>
            </w:r>
            <w:r>
              <w:rPr>
                <w:rFonts w:hint="eastAsia" w:ascii="宋体" w:hAnsi="宋体" w:cs="宋体"/>
                <w:kern w:val="0"/>
                <w:szCs w:val="21"/>
                <w:lang w:val="zh-CN"/>
              </w:rPr>
              <w:t>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ascii="宋体" w:hAnsi="宋体" w:cs="宋体"/>
                <w:b/>
                <w:color w:val="FF0000"/>
                <w:szCs w:val="21"/>
              </w:rPr>
            </w:pPr>
            <w:r>
              <w:rPr>
                <w:rFonts w:hint="eastAsia" w:ascii="宋体" w:hAnsi="宋体" w:cs="宋体"/>
                <w:b/>
                <w:color w:val="FF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22" w:type="dxa"/>
            <w:gridSpan w:val="2"/>
            <w:vAlign w:val="center"/>
          </w:tcPr>
          <w:p>
            <w:pPr>
              <w:jc w:val="center"/>
              <w:rPr>
                <w:rFonts w:ascii="宋体" w:hAnsi="宋体" w:cs="宋体"/>
                <w:szCs w:val="21"/>
              </w:rPr>
            </w:pPr>
            <w:r>
              <w:rPr>
                <w:rFonts w:hint="eastAsia" w:ascii="宋体" w:hAnsi="宋体" w:cs="宋体"/>
                <w:szCs w:val="21"/>
              </w:rPr>
              <w:t>商务条款</w:t>
            </w:r>
          </w:p>
          <w:p>
            <w:pPr>
              <w:jc w:val="center"/>
              <w:rPr>
                <w:rFonts w:ascii="宋体" w:hAnsi="宋体" w:cs="宋体"/>
                <w:szCs w:val="21"/>
              </w:rPr>
            </w:pPr>
            <w:r>
              <w:rPr>
                <w:rFonts w:hint="eastAsia" w:ascii="宋体" w:hAnsi="宋体" w:cs="宋体"/>
                <w:szCs w:val="21"/>
              </w:rPr>
              <w:t>偏离情况</w:t>
            </w:r>
          </w:p>
        </w:tc>
        <w:tc>
          <w:tcPr>
            <w:tcW w:w="1431" w:type="dxa"/>
            <w:vAlign w:val="center"/>
          </w:tcPr>
          <w:p>
            <w:pPr>
              <w:jc w:val="center"/>
              <w:rPr>
                <w:rFonts w:ascii="宋体" w:hAnsi="宋体" w:cs="宋体"/>
                <w:szCs w:val="21"/>
              </w:rPr>
            </w:pPr>
            <w:r>
              <w:rPr>
                <w:rFonts w:hint="eastAsia" w:ascii="宋体" w:hAnsi="宋体" w:cs="宋体"/>
                <w:szCs w:val="21"/>
              </w:rPr>
              <w:t>5</w:t>
            </w:r>
          </w:p>
        </w:tc>
        <w:tc>
          <w:tcPr>
            <w:tcW w:w="4678" w:type="dxa"/>
            <w:vAlign w:val="center"/>
          </w:tcPr>
          <w:p>
            <w:pPr>
              <w:jc w:val="left"/>
              <w:rPr>
                <w:rFonts w:ascii="宋体" w:hAnsi="宋体" w:cs="宋体"/>
                <w:szCs w:val="21"/>
              </w:rPr>
            </w:pPr>
            <w:r>
              <w:rPr>
                <w:rFonts w:hint="eastAsia" w:ascii="宋体" w:hAnsi="宋体" w:cs="宋体"/>
                <w:szCs w:val="21"/>
              </w:rPr>
              <w:t>投</w:t>
            </w:r>
            <w:r>
              <w:rPr>
                <w:rFonts w:hint="eastAsia" w:ascii="宋体" w:hAnsi="宋体" w:cs="宋体"/>
                <w:kern w:val="0"/>
                <w:szCs w:val="21"/>
              </w:rPr>
              <w:t>标人应如实填写《商务条款偏离表》，评审委员会根据响应情况进行打分，全部满足要求的得5分，每负偏离一项扣1分。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autoSpaceDE w:val="0"/>
              <w:autoSpaceDN w:val="0"/>
              <w:adjustRightInd w:val="0"/>
              <w:snapToGrid w:val="0"/>
              <w:jc w:val="center"/>
              <w:rPr>
                <w:rFonts w:ascii="宋体" w:hAnsi="宋体" w:cs="宋体"/>
                <w:szCs w:val="21"/>
              </w:rPr>
            </w:pPr>
            <w:r>
              <w:rPr>
                <w:rFonts w:hint="eastAsia" w:ascii="宋体" w:hAnsi="宋体" w:cs="宋体"/>
                <w:kern w:val="0"/>
                <w:szCs w:val="21"/>
              </w:rPr>
              <w:t>专业能力</w:t>
            </w:r>
          </w:p>
        </w:tc>
        <w:tc>
          <w:tcPr>
            <w:tcW w:w="1431" w:type="dxa"/>
            <w:vAlign w:val="center"/>
          </w:tcPr>
          <w:p>
            <w:pPr>
              <w:autoSpaceDE w:val="0"/>
              <w:autoSpaceDN w:val="0"/>
              <w:adjustRightInd w:val="0"/>
              <w:snapToGrid w:val="0"/>
              <w:jc w:val="center"/>
              <w:rPr>
                <w:rFonts w:ascii="宋体" w:hAnsi="宋体" w:cs="宋体"/>
                <w:szCs w:val="21"/>
              </w:rPr>
            </w:pPr>
            <w:r>
              <w:rPr>
                <w:rFonts w:hint="eastAsia" w:ascii="宋体" w:hAnsi="宋体" w:cs="宋体"/>
                <w:kern w:val="0"/>
                <w:szCs w:val="21"/>
              </w:rPr>
              <w:t>10</w:t>
            </w:r>
          </w:p>
        </w:tc>
        <w:tc>
          <w:tcPr>
            <w:tcW w:w="4678" w:type="dxa"/>
          </w:tcPr>
          <w:p>
            <w:pPr>
              <w:autoSpaceDE w:val="0"/>
              <w:autoSpaceDN w:val="0"/>
              <w:adjustRightInd w:val="0"/>
              <w:snapToGrid w:val="0"/>
              <w:jc w:val="left"/>
              <w:rPr>
                <w:rFonts w:ascii="宋体" w:hAnsi="宋体" w:cs="宋体"/>
                <w:kern w:val="0"/>
                <w:szCs w:val="21"/>
                <w:highlight w:val="none"/>
              </w:rPr>
            </w:pPr>
            <w:r>
              <w:rPr>
                <w:rFonts w:hint="eastAsia" w:ascii="宋体" w:hAnsi="宋体" w:cs="宋体"/>
                <w:kern w:val="0"/>
                <w:szCs w:val="21"/>
              </w:rPr>
              <w:t>投标人为本项目拟派的项目经理被职业院校聘请为专业建</w:t>
            </w:r>
            <w:r>
              <w:rPr>
                <w:rFonts w:hint="eastAsia" w:ascii="宋体" w:hAnsi="宋体" w:cs="宋体"/>
                <w:kern w:val="0"/>
                <w:szCs w:val="21"/>
                <w:highlight w:val="none"/>
              </w:rPr>
              <w:t>设或教学指导委员会委员或专家或校企合作委员会委员、顾问、兼职教师、客座教授、导师的聘书。（聘用年限不限，聘书上需</w:t>
            </w:r>
            <w:r>
              <w:rPr>
                <w:rFonts w:hint="eastAsia" w:ascii="宋体" w:hAnsi="宋体" w:cs="宋体"/>
                <w:kern w:val="0"/>
                <w:szCs w:val="21"/>
                <w:highlight w:val="none"/>
                <w:lang w:val="en-US" w:eastAsia="zh-CN"/>
              </w:rPr>
              <w:t>盖有</w:t>
            </w:r>
            <w:r>
              <w:rPr>
                <w:rFonts w:hint="eastAsia" w:ascii="宋体" w:hAnsi="宋体" w:cs="宋体"/>
                <w:kern w:val="0"/>
                <w:szCs w:val="21"/>
                <w:highlight w:val="none"/>
              </w:rPr>
              <w:t>聘用单位公章）</w:t>
            </w:r>
          </w:p>
          <w:p>
            <w:pPr>
              <w:autoSpaceDE w:val="0"/>
              <w:autoSpaceDN w:val="0"/>
              <w:adjustRightInd w:val="0"/>
              <w:snapToGrid w:val="0"/>
              <w:jc w:val="left"/>
              <w:rPr>
                <w:rFonts w:ascii="宋体" w:hAnsi="宋体" w:cs="宋体"/>
                <w:color w:val="000000"/>
              </w:rPr>
            </w:pPr>
            <w:r>
              <w:rPr>
                <w:rFonts w:hint="eastAsia" w:ascii="宋体" w:hAnsi="宋体" w:cs="宋体"/>
                <w:kern w:val="0"/>
                <w:szCs w:val="21"/>
                <w:highlight w:val="none"/>
              </w:rPr>
              <w:t>每提供1个得1分，不提供不得分，本项最高得10分。                                                            注：提供聘书（聘用年限不限，需盖聘用单位公章，聘书必须是不同院校，同一</w:t>
            </w:r>
            <w:r>
              <w:rPr>
                <w:rFonts w:hint="eastAsia" w:ascii="宋体" w:hAnsi="宋体" w:cs="宋体"/>
                <w:kern w:val="0"/>
                <w:szCs w:val="21"/>
              </w:rPr>
              <w:t>院校的多个证书按一个证书计算）及在首次提交响应文件截止日之前三个月内任意一个月社保部门出具的供应商为其缴纳的社保证明或单位代缴个人所得税税单的复印件。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3</w:t>
            </w:r>
          </w:p>
        </w:tc>
        <w:tc>
          <w:tcPr>
            <w:tcW w:w="1422" w:type="dxa"/>
            <w:gridSpan w:val="2"/>
            <w:vAlign w:val="center"/>
          </w:tcPr>
          <w:p>
            <w:pPr>
              <w:autoSpaceDE w:val="0"/>
              <w:autoSpaceDN w:val="0"/>
              <w:adjustRightInd w:val="0"/>
              <w:snapToGrid w:val="0"/>
              <w:jc w:val="center"/>
              <w:rPr>
                <w:rFonts w:ascii="宋体" w:hAnsi="宋体" w:cs="宋体"/>
                <w:kern w:val="0"/>
                <w:szCs w:val="21"/>
                <w:lang w:val="zh-CN"/>
              </w:rPr>
            </w:pPr>
            <w:r>
              <w:rPr>
                <w:rFonts w:hint="eastAsia" w:ascii="宋体" w:hAnsi="宋体" w:cs="宋体"/>
                <w:kern w:val="0"/>
                <w:szCs w:val="21"/>
              </w:rPr>
              <w:t>用户评价</w:t>
            </w:r>
          </w:p>
        </w:tc>
        <w:tc>
          <w:tcPr>
            <w:tcW w:w="1431" w:type="dxa"/>
            <w:vAlign w:val="center"/>
          </w:tcPr>
          <w:p>
            <w:pPr>
              <w:autoSpaceDE w:val="0"/>
              <w:autoSpaceDN w:val="0"/>
              <w:adjustRightInd w:val="0"/>
              <w:snapToGrid w:val="0"/>
              <w:jc w:val="center"/>
              <w:rPr>
                <w:rFonts w:ascii="宋体" w:hAnsi="宋体" w:cs="宋体"/>
                <w:kern w:val="0"/>
                <w:szCs w:val="21"/>
                <w:lang w:val="zh-CN"/>
              </w:rPr>
            </w:pPr>
            <w:r>
              <w:rPr>
                <w:rFonts w:hint="eastAsia" w:ascii="宋体" w:hAnsi="宋体" w:cs="宋体"/>
                <w:kern w:val="0"/>
                <w:szCs w:val="21"/>
              </w:rPr>
              <w:t>5</w:t>
            </w:r>
          </w:p>
        </w:tc>
        <w:tc>
          <w:tcPr>
            <w:tcW w:w="4678" w:type="dxa"/>
          </w:tcPr>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供应商须提供用户使用部门满意度评价材料，每提供一份得0.5分，最高得5分。</w:t>
            </w:r>
          </w:p>
          <w:p>
            <w:pPr>
              <w:autoSpaceDE w:val="0"/>
              <w:autoSpaceDN w:val="0"/>
              <w:adjustRightInd w:val="0"/>
              <w:snapToGrid w:val="0"/>
              <w:jc w:val="left"/>
              <w:rPr>
                <w:rFonts w:ascii="宋体" w:hAnsi="宋体" w:cs="宋体"/>
                <w:kern w:val="0"/>
                <w:szCs w:val="21"/>
                <w:lang w:val="zh-CN"/>
              </w:rPr>
            </w:pPr>
            <w:r>
              <w:rPr>
                <w:rFonts w:hint="eastAsia" w:ascii="宋体" w:hAnsi="宋体" w:cs="宋体"/>
                <w:kern w:val="0"/>
                <w:szCs w:val="21"/>
              </w:rPr>
              <w:t>注：提供证明材料复印件，同一客户或同一项目提供多项用户满意度评价的，按一项计算。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4</w:t>
            </w:r>
          </w:p>
        </w:tc>
        <w:tc>
          <w:tcPr>
            <w:tcW w:w="1422" w:type="dxa"/>
            <w:gridSpan w:val="2"/>
            <w:vAlign w:val="center"/>
          </w:tcPr>
          <w:p>
            <w:pPr>
              <w:autoSpaceDE w:val="0"/>
              <w:autoSpaceDN w:val="0"/>
              <w:adjustRightInd w:val="0"/>
              <w:snapToGrid w:val="0"/>
              <w:jc w:val="center"/>
              <w:rPr>
                <w:rFonts w:ascii="宋体" w:hAnsi="宋体" w:cs="宋体"/>
                <w:szCs w:val="21"/>
              </w:rPr>
            </w:pPr>
            <w:r>
              <w:rPr>
                <w:rFonts w:hint="eastAsia" w:ascii="宋体" w:hAnsi="宋体" w:cs="宋体"/>
                <w:kern w:val="0"/>
                <w:szCs w:val="21"/>
              </w:rPr>
              <w:t>同类业绩</w:t>
            </w:r>
          </w:p>
        </w:tc>
        <w:tc>
          <w:tcPr>
            <w:tcW w:w="1431" w:type="dxa"/>
            <w:vAlign w:val="center"/>
          </w:tcPr>
          <w:p>
            <w:pPr>
              <w:autoSpaceDE w:val="0"/>
              <w:autoSpaceDN w:val="0"/>
              <w:adjustRightInd w:val="0"/>
              <w:snapToGrid w:val="0"/>
              <w:jc w:val="center"/>
              <w:rPr>
                <w:rFonts w:ascii="宋体" w:hAnsi="宋体" w:cs="宋体"/>
                <w:szCs w:val="21"/>
              </w:rPr>
            </w:pPr>
            <w:r>
              <w:rPr>
                <w:rFonts w:hint="eastAsia" w:ascii="宋体" w:hAnsi="宋体" w:cs="宋体"/>
                <w:kern w:val="0"/>
                <w:szCs w:val="21"/>
              </w:rPr>
              <w:t>5</w:t>
            </w:r>
          </w:p>
        </w:tc>
        <w:tc>
          <w:tcPr>
            <w:tcW w:w="4678" w:type="dxa"/>
            <w:vAlign w:val="center"/>
          </w:tcPr>
          <w:p>
            <w:pPr>
              <w:autoSpaceDE w:val="0"/>
              <w:autoSpaceDN w:val="0"/>
              <w:adjustRightInd w:val="0"/>
              <w:snapToGrid w:val="0"/>
              <w:jc w:val="left"/>
              <w:rPr>
                <w:rFonts w:ascii="宋体" w:hAnsi="宋体" w:cs="宋体"/>
              </w:rPr>
            </w:pPr>
            <w:r>
              <w:rPr>
                <w:rFonts w:hint="eastAsia" w:ascii="宋体" w:hAnsi="宋体" w:cs="宋体"/>
                <w:kern w:val="0"/>
                <w:szCs w:val="21"/>
              </w:rPr>
              <w:t>供应商2020年至今（以合同签订时间为准）的同类项目业绩，每提供一个得0.5分，满分5分（需提供合同</w:t>
            </w:r>
            <w:r>
              <w:rPr>
                <w:rFonts w:hint="eastAsia" w:ascii="宋体" w:hAnsi="宋体" w:cs="宋体"/>
                <w:kern w:val="0"/>
                <w:szCs w:val="21"/>
                <w:lang w:val="en-US" w:eastAsia="zh-CN"/>
              </w:rPr>
              <w:t>关键页</w:t>
            </w:r>
            <w:r>
              <w:rPr>
                <w:rFonts w:hint="eastAsia" w:ascii="宋体" w:hAnsi="宋体" w:cs="宋体"/>
                <w:kern w:val="0"/>
                <w:szCs w:val="21"/>
              </w:rPr>
              <w:t>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4"/>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4"/>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2"/>
            <w:vAlign w:val="center"/>
          </w:tcPr>
          <w:p>
            <w:pPr>
              <w:jc w:val="center"/>
              <w:rPr>
                <w:rFonts w:ascii="宋体" w:hAnsi="宋体" w:cs="宋体"/>
                <w:szCs w:val="21"/>
              </w:rPr>
            </w:pPr>
            <w:r>
              <w:rPr>
                <w:rFonts w:hint="eastAsia" w:ascii="宋体" w:hAnsi="宋体" w:cs="宋体"/>
                <w:szCs w:val="21"/>
              </w:rPr>
              <w:t>5</w:t>
            </w:r>
          </w:p>
        </w:tc>
        <w:tc>
          <w:tcPr>
            <w:tcW w:w="4678" w:type="dxa"/>
          </w:tcPr>
          <w:p>
            <w:pPr>
              <w:autoSpaceDE w:val="0"/>
              <w:autoSpaceDN w:val="0"/>
              <w:adjustRightInd w:val="0"/>
              <w:snapToGrid w:val="0"/>
              <w:jc w:val="left"/>
              <w:rPr>
                <w:rFonts w:hint="eastAsia" w:ascii="宋体" w:hAnsi="宋体" w:cs="宋体"/>
                <w:kern w:val="0"/>
                <w:szCs w:val="21"/>
                <w:lang w:val="en-US" w:eastAsia="zh-CN"/>
              </w:rPr>
            </w:pPr>
            <w:r>
              <w:rPr>
                <w:rFonts w:hint="eastAsia" w:ascii="宋体" w:hAnsi="宋体" w:cs="宋体"/>
                <w:kern w:val="0"/>
                <w:szCs w:val="21"/>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autoSpaceDE w:val="0"/>
              <w:autoSpaceDN w:val="0"/>
              <w:adjustRightInd w:val="0"/>
              <w:snapToGrid w:val="0"/>
              <w:jc w:val="left"/>
              <w:rPr>
                <w:rFonts w:ascii="宋体" w:hAnsi="宋体" w:cs="宋体"/>
                <w:szCs w:val="21"/>
              </w:rPr>
            </w:pPr>
            <w:r>
              <w:rPr>
                <w:rFonts w:hint="eastAsia" w:ascii="宋体" w:hAnsi="宋体" w:cs="宋体"/>
                <w:kern w:val="0"/>
                <w:szCs w:val="21"/>
                <w:lang w:val="en-US" w:eastAsia="zh-CN"/>
              </w:rPr>
              <w:t>（采购人通过“信用中国”、“中国政府采购网”、“深圳市政府采购监管网”以及市、区财政部门认定的其他渠道查询供应商信用信息，投标人无需提供证明材料。</w:t>
            </w:r>
          </w:p>
        </w:tc>
      </w:tr>
    </w:tbl>
    <w:p>
      <w:pPr>
        <w:pStyle w:val="3"/>
      </w:pPr>
      <w:r>
        <w:rPr>
          <w:rFonts w:hint="eastAsia"/>
        </w:rPr>
        <w:t>第二章  项目需求</w:t>
      </w:r>
    </w:p>
    <w:p>
      <w:pPr>
        <w:pStyle w:val="4"/>
        <w:spacing w:before="156" w:beforeLines="50" w:after="156" w:afterLines="50"/>
        <w:rPr>
          <w:rFonts w:cs="宋体"/>
          <w:szCs w:val="28"/>
        </w:rPr>
      </w:pPr>
      <w:bookmarkStart w:id="0" w:name="_Toc73518117"/>
      <w:bookmarkStart w:id="1" w:name="_Toc73521547"/>
      <w:bookmarkStart w:id="2" w:name="_Toc60560625"/>
      <w:bookmarkStart w:id="3" w:name="_Toc73521635"/>
      <w:bookmarkStart w:id="4" w:name="_Toc60631620"/>
      <w:bookmarkStart w:id="5" w:name="_Toc73517639"/>
      <w:bookmarkStart w:id="6" w:name="_Toc101074876"/>
      <w:bookmarkStart w:id="7" w:name="_Toc100052364"/>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深圳市第一职业技术学校艺术设计</w:t>
      </w:r>
      <w:r>
        <w:rPr>
          <w:rFonts w:hint="eastAsia" w:ascii="宋体" w:hAnsi="宋体" w:cs="宋体"/>
          <w:szCs w:val="21"/>
          <w:lang w:val="en-US" w:eastAsia="zh-CN"/>
        </w:rPr>
        <w:t>技能训练</w:t>
      </w:r>
      <w:r>
        <w:rPr>
          <w:rFonts w:hint="eastAsia" w:ascii="宋体" w:hAnsi="宋体" w:cs="宋体"/>
          <w:szCs w:val="21"/>
        </w:rPr>
        <w:t>软件及素材资源采购项。</w:t>
      </w:r>
    </w:p>
    <w:p>
      <w:pPr>
        <w:pStyle w:val="4"/>
        <w:numPr>
          <w:ilvl w:val="0"/>
          <w:numId w:val="2"/>
        </w:numPr>
        <w:spacing w:before="156" w:beforeLines="50" w:after="156" w:afterLines="50"/>
        <w:rPr>
          <w:rFonts w:cs="宋体"/>
          <w:szCs w:val="28"/>
        </w:rPr>
      </w:pPr>
      <w:r>
        <w:rPr>
          <w:rFonts w:hint="eastAsia" w:cs="宋体"/>
          <w:szCs w:val="28"/>
        </w:rPr>
        <w:t>货物清单</w:t>
      </w:r>
    </w:p>
    <w:tbl>
      <w:tblPr>
        <w:tblStyle w:val="17"/>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820"/>
        <w:gridCol w:w="780"/>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820" w:type="dxa"/>
            <w:vAlign w:val="center"/>
          </w:tcPr>
          <w:p>
            <w:pPr>
              <w:jc w:val="center"/>
              <w:rPr>
                <w:rFonts w:ascii="宋体" w:hAnsi="宋体" w:cs="宋体"/>
                <w:bCs/>
                <w:szCs w:val="21"/>
              </w:rPr>
            </w:pPr>
            <w:r>
              <w:rPr>
                <w:rFonts w:hint="eastAsia" w:ascii="宋体" w:hAnsi="宋体" w:cs="宋体"/>
                <w:bCs/>
                <w:szCs w:val="21"/>
              </w:rPr>
              <w:t>货物名称</w:t>
            </w:r>
          </w:p>
        </w:tc>
        <w:tc>
          <w:tcPr>
            <w:tcW w:w="780"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1</w:t>
            </w:r>
          </w:p>
        </w:tc>
        <w:tc>
          <w:tcPr>
            <w:tcW w:w="2820" w:type="dxa"/>
            <w:vAlign w:val="center"/>
          </w:tcPr>
          <w:p>
            <w:pPr>
              <w:jc w:val="center"/>
              <w:rPr>
                <w:rFonts w:ascii="宋体" w:hAnsi="宋体" w:cs="宋体"/>
                <w:szCs w:val="21"/>
              </w:rPr>
            </w:pPr>
            <w:r>
              <w:rPr>
                <w:rFonts w:hint="eastAsia" w:ascii="宋体" w:hAnsi="宋体" w:cs="宋体"/>
                <w:szCs w:val="21"/>
              </w:rPr>
              <w:t>艺术设计</w:t>
            </w:r>
            <w:r>
              <w:rPr>
                <w:rFonts w:hint="eastAsia" w:ascii="宋体" w:hAnsi="宋体" w:cs="宋体"/>
                <w:szCs w:val="21"/>
                <w:lang w:val="en-US" w:eastAsia="zh-CN"/>
              </w:rPr>
              <w:t>技能训练</w:t>
            </w:r>
            <w:r>
              <w:rPr>
                <w:rFonts w:hint="eastAsia" w:ascii="宋体" w:hAnsi="宋体" w:cs="宋体"/>
                <w:szCs w:val="21"/>
              </w:rPr>
              <w:t>软件及素材资源</w:t>
            </w:r>
          </w:p>
        </w:tc>
        <w:tc>
          <w:tcPr>
            <w:tcW w:w="780" w:type="dxa"/>
            <w:vAlign w:val="center"/>
          </w:tcPr>
          <w:p>
            <w:pPr>
              <w:jc w:val="center"/>
              <w:rPr>
                <w:rFonts w:ascii="宋体" w:hAnsi="宋体" w:cs="宋体"/>
                <w:szCs w:val="21"/>
              </w:rPr>
            </w:pPr>
            <w:r>
              <w:rPr>
                <w:rFonts w:hint="eastAsia" w:ascii="宋体" w:hAnsi="宋体" w:cs="宋体"/>
                <w:szCs w:val="21"/>
              </w:rPr>
              <w:t>1</w:t>
            </w:r>
          </w:p>
        </w:tc>
        <w:tc>
          <w:tcPr>
            <w:tcW w:w="1290" w:type="dxa"/>
            <w:vAlign w:val="center"/>
          </w:tcPr>
          <w:p>
            <w:pPr>
              <w:jc w:val="center"/>
              <w:rPr>
                <w:rFonts w:ascii="宋体" w:hAnsi="宋体" w:cs="宋体"/>
                <w:szCs w:val="21"/>
              </w:rPr>
            </w:pPr>
            <w:r>
              <w:rPr>
                <w:rFonts w:hint="eastAsia" w:ascii="宋体" w:hAnsi="宋体" w:cs="宋体"/>
                <w:szCs w:val="21"/>
              </w:rPr>
              <w:t>套</w:t>
            </w:r>
          </w:p>
        </w:tc>
        <w:tc>
          <w:tcPr>
            <w:tcW w:w="2148" w:type="dxa"/>
            <w:vAlign w:val="center"/>
          </w:tcPr>
          <w:p>
            <w:pPr>
              <w:jc w:val="center"/>
              <w:rPr>
                <w:rFonts w:ascii="宋体" w:hAnsi="宋体" w:cs="宋体"/>
                <w:szCs w:val="21"/>
              </w:rPr>
            </w:pPr>
            <w:r>
              <w:rPr>
                <w:rFonts w:hint="eastAsia" w:ascii="宋体" w:hAnsi="宋体" w:cs="宋体"/>
                <w:szCs w:val="21"/>
              </w:rPr>
              <w:t>拒绝进口</w:t>
            </w:r>
          </w:p>
        </w:tc>
      </w:tr>
    </w:tbl>
    <w:p>
      <w:pPr>
        <w:pStyle w:val="4"/>
        <w:spacing w:before="156" w:beforeLines="50" w:after="156" w:afterLines="50"/>
        <w:rPr>
          <w:rFonts w:cs="宋体"/>
          <w:szCs w:val="28"/>
        </w:rPr>
      </w:pPr>
      <w:bookmarkStart w:id="8" w:name="_GoBack"/>
      <w:bookmarkEnd w:id="8"/>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7"/>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szCs w:val="21"/>
              </w:rPr>
            </w:pPr>
            <w:r>
              <w:rPr>
                <w:rFonts w:hint="eastAsia" w:ascii="仿宋" w:hAnsi="仿宋" w:eastAsia="仿宋"/>
                <w:szCs w:val="21"/>
              </w:rPr>
              <w:t>序号</w:t>
            </w:r>
          </w:p>
        </w:tc>
        <w:tc>
          <w:tcPr>
            <w:tcW w:w="1476" w:type="dxa"/>
            <w:vAlign w:val="center"/>
          </w:tcPr>
          <w:p>
            <w:pPr>
              <w:widowControl/>
              <w:jc w:val="center"/>
              <w:rPr>
                <w:rFonts w:ascii="仿宋" w:hAnsi="仿宋" w:eastAsia="仿宋"/>
                <w:b/>
                <w:szCs w:val="21"/>
              </w:rPr>
            </w:pPr>
            <w:r>
              <w:rPr>
                <w:rFonts w:hint="eastAsia" w:ascii="仿宋" w:hAnsi="仿宋" w:eastAsia="仿宋"/>
                <w:szCs w:val="21"/>
              </w:rPr>
              <w:t>货物名称</w:t>
            </w:r>
          </w:p>
        </w:tc>
        <w:tc>
          <w:tcPr>
            <w:tcW w:w="5986" w:type="dxa"/>
            <w:vAlign w:val="center"/>
          </w:tcPr>
          <w:p>
            <w:pPr>
              <w:jc w:val="center"/>
              <w:rPr>
                <w:rFonts w:ascii="仿宋" w:hAnsi="仿宋" w:eastAsia="仿宋"/>
                <w:b/>
                <w:szCs w:val="21"/>
              </w:rPr>
            </w:pPr>
            <w:r>
              <w:rPr>
                <w:rFonts w:hint="eastAsia" w:ascii="仿宋" w:hAnsi="仿宋" w:eastAsia="仿宋"/>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left"/>
              <w:rPr>
                <w:rFonts w:ascii="仿宋" w:hAnsi="仿宋" w:eastAsia="仿宋"/>
                <w:szCs w:val="21"/>
              </w:rPr>
            </w:pPr>
            <w:r>
              <w:rPr>
                <w:rFonts w:hint="eastAsia" w:ascii="仿宋" w:hAnsi="仿宋" w:eastAsia="仿宋"/>
                <w:szCs w:val="21"/>
              </w:rPr>
              <w:t>1</w:t>
            </w:r>
          </w:p>
          <w:p>
            <w:pPr>
              <w:rPr>
                <w:rFonts w:ascii="仿宋" w:hAnsi="仿宋" w:eastAsia="仿宋"/>
                <w:b/>
                <w:szCs w:val="21"/>
              </w:rPr>
            </w:pPr>
          </w:p>
        </w:tc>
        <w:tc>
          <w:tcPr>
            <w:tcW w:w="1476" w:type="dxa"/>
            <w:vMerge w:val="restart"/>
            <w:vAlign w:val="center"/>
          </w:tcPr>
          <w:p>
            <w:pPr>
              <w:rPr>
                <w:rFonts w:ascii="仿宋" w:hAnsi="仿宋" w:eastAsia="仿宋"/>
                <w:b/>
                <w:szCs w:val="21"/>
              </w:rPr>
            </w:pPr>
            <w:r>
              <w:rPr>
                <w:rFonts w:hint="eastAsia" w:ascii="宋体" w:hAnsi="宋体" w:cs="宋体"/>
                <w:szCs w:val="21"/>
              </w:rPr>
              <w:t>艺术设计软件及素材资源</w:t>
            </w:r>
          </w:p>
        </w:tc>
        <w:tc>
          <w:tcPr>
            <w:tcW w:w="5986" w:type="dxa"/>
          </w:tcPr>
          <w:p>
            <w:r>
              <w:rPr>
                <w:rFonts w:hint="eastAsia" w:ascii="仿宋" w:hAnsi="仿宋" w:eastAsia="仿宋"/>
                <w:b/>
                <w:szCs w:val="21"/>
              </w:rPr>
              <w:t>1</w:t>
            </w:r>
            <w:r>
              <w:rPr>
                <w:rFonts w:ascii="仿宋" w:hAnsi="仿宋" w:eastAsia="仿宋"/>
                <w:b/>
                <w:szCs w:val="21"/>
              </w:rPr>
              <w:t>.1</w:t>
            </w:r>
            <w:r>
              <w:rPr>
                <w:rFonts w:hint="eastAsia"/>
              </w:rPr>
              <w:t xml:space="preserve"> 艺术和视频处理正版软件套包性能要求：</w:t>
            </w:r>
          </w:p>
          <w:p>
            <w:pPr>
              <w:jc w:val="left"/>
            </w:pPr>
            <w:r>
              <w:rPr>
                <w:rFonts w:hint="eastAsia"/>
              </w:rPr>
              <w:t>套包须包含以下正版软件：AdobePhotoshop图文处理软件，AdobeAfter Effects视频特效编辑软件，AdobePremiere Pro 后期合成软件，AdobeInDesign交互发布软件，AdobeIllustrator矢量图处理软件，AdobeDreamweaver网页交互设计软件，AdobeAcrobat Pro DC 文件保护生成软件，AdobeAnimate 新媒体发布软件，AdobeAudition 音频编辑软件，AdobeBridge 媒资管理系统，AdobeInCopy 文字编辑软件，AdobeCharacter Animator角色动画软件，AdobeMedia Encoder媒体转码软件，AdobeLightroom 数字照片处理编辑软件。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rPr>
                <w:rFonts w:ascii="仿宋" w:hAnsi="仿宋" w:eastAsia="仿宋"/>
                <w:b/>
                <w:szCs w:val="21"/>
              </w:rPr>
            </w:pPr>
          </w:p>
        </w:tc>
        <w:tc>
          <w:tcPr>
            <w:tcW w:w="1476" w:type="dxa"/>
            <w:vMerge w:val="continue"/>
            <w:vAlign w:val="center"/>
          </w:tcPr>
          <w:p>
            <w:pPr>
              <w:rPr>
                <w:rFonts w:ascii="仿宋" w:hAnsi="仿宋" w:eastAsia="仿宋"/>
                <w:b/>
                <w:szCs w:val="21"/>
              </w:rPr>
            </w:pPr>
          </w:p>
        </w:tc>
        <w:tc>
          <w:tcPr>
            <w:tcW w:w="5986" w:type="dxa"/>
          </w:tcPr>
          <w:p>
            <w:r>
              <w:t>1.2.1</w:t>
            </w:r>
            <w:r>
              <w:rPr>
                <w:rFonts w:hint="eastAsia"/>
              </w:rPr>
              <w:t>：▲页面定制模块功能要求：功能检索：能实现快速的检索系统的功能，能一键快速定位到需要操作的功能页面。全屏显示：能实现页面的全屏展示功能，支持大屏操作。锁定系统：支持一键锁定系统，在用户临时离开时通过一键锁定功能将当有的系统锁定，再次进入时只需要输入登录密码即可继续未完成的工作。实现更安全的操作。布局管理：能配置页面的色调，对页面的布局实现定制，包括顶部导航栏/功能页面栏/是否显示LOGO/动态标题。首页定制：能根据用户的使用习惯，通过鼠标点击拖动来定制首页显示布局的功能。列表定制：系统中的列表显示支持指定列的隐藏功能（须提供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.2</w:t>
            </w:r>
            <w:r>
              <w:rPr>
                <w:rFonts w:hint="eastAsia"/>
              </w:rPr>
              <w:t>组织切换模块功能要求：系统支持一个用户从属于多个学校或组织的功能，系统能提供快速切换到所属组织并列取出所属组织对应信息的功能。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t>1.</w:t>
            </w:r>
            <w:r>
              <w:rPr>
                <w:rFonts w:hint="eastAsia"/>
              </w:rPr>
              <w:t>2</w:t>
            </w:r>
            <w:r>
              <w:t>.3</w:t>
            </w:r>
            <w:r>
              <w:rPr>
                <w:rFonts w:hint="eastAsia"/>
              </w:rPr>
              <w:t>个人中心模块功能要求：显示登录用户的详细信息，支持个人登录密码等信息的修改。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.4</w:t>
            </w:r>
            <w:r>
              <w:rPr>
                <w:rFonts w:hint="eastAsia"/>
              </w:rPr>
              <w:t>通知公告模块功能要求：支持多终端动态显示学校/专业/课程/课程班级学习的相关通知，通知能区分未读/已读等状态。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.5</w:t>
            </w:r>
            <w:r>
              <w:rPr>
                <w:rFonts w:hint="eastAsia"/>
              </w:rPr>
              <w:t>课程选择模块功能要求：支持快速选择课程进行学习/交流，支持按所属专业/教学学期进行检索课程，支持通过课程邀约码加入课程学习。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.6</w:t>
            </w:r>
            <w:r>
              <w:rPr>
                <w:rFonts w:hint="eastAsia"/>
              </w:rPr>
              <w:t>▲在线学习模块功能要求：学生能通过移动端/网页端进行在线学习操作，支持查看当前课程的已发布的课时信息，进入课时学习能查看到老师发布的课前活动/课堂互动/课后活动的课件/试卷/作业/直播等信息，学生只能对指定时间内的课件/试卷/作业/直播进行在线学习，系统记录学生的学习记录和学习时长等信息，课件资源支持在线查看学习，所有的学习活动支持在线交流功能，试卷和作业支持在线答卷功能，支持试卷临时保存下次继续答题功能，试卷提交后不能修改，对可多次做答的试卷或作业在老师阅卷后可进行再次做答（须提供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.7</w:t>
            </w:r>
            <w:r>
              <w:rPr>
                <w:rFonts w:hint="eastAsia"/>
              </w:rPr>
              <w:t>▲学习记录模块功能要求：学习记录：支持查询当前课程所有课时的学习记录情况，了解学生自身对老师发布的学习任务的完成情况。课件记录：学生能查询到自己学习过哪些课件，支持课件的在线预览。试卷：支持查询试卷的完成情况以及得分，支持查询答卷的次数以及每次答卷的内容明细。作业：支持查询作业试卷的完成情况以及老师的点评，支持查询答卷的次数以及每次答卷的内容明细。直播：支持查询学习参加的直播课时的信息（须提供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.8</w:t>
            </w:r>
            <w:r>
              <w:rPr>
                <w:rFonts w:hint="eastAsia"/>
              </w:rPr>
              <w:t>▲实验报告模块功能要求：对于参加的实验课程提供学生上交实验报告的功能，实验报告内容支持图文并茂的富文本编辑功能（须提供操作界面截图）。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r>
              <w:t>1.</w:t>
            </w:r>
            <w:r>
              <w:rPr>
                <w:rFonts w:hint="eastAsia"/>
              </w:rPr>
              <w:t>2</w:t>
            </w:r>
            <w:r>
              <w:t>.9</w:t>
            </w:r>
            <w:r>
              <w:rPr>
                <w:rFonts w:hint="eastAsia"/>
              </w:rPr>
              <w:t>错题本模块功能要求：记录学生学习过程所有的试卷和作业中错误的题目，记录做错的记录以及正确的答案，并提供正确答案的解析以及老师的点评功能。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tabs>
                <w:tab w:val="left" w:pos="1745"/>
              </w:tabs>
            </w:pPr>
            <w:r>
              <w:t>1.</w:t>
            </w:r>
            <w:r>
              <w:rPr>
                <w:rFonts w:hint="eastAsia"/>
              </w:rPr>
              <w:t>2</w:t>
            </w:r>
            <w:r>
              <w:t>.10</w:t>
            </w:r>
            <w:r>
              <w:rPr>
                <w:rFonts w:hint="eastAsia"/>
              </w:rPr>
              <w:t>我的笔记模块功能要求：支持学习记录自己的学习笔记，学习笔记内容支持图文并茂的富文本编辑功能，学生的学习笔记支持设置公开和公开的功能。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tabs>
                <w:tab w:val="left" w:pos="1745"/>
              </w:tabs>
            </w:pPr>
            <w:r>
              <w:t>1.</w:t>
            </w:r>
            <w:r>
              <w:rPr>
                <w:rFonts w:hint="eastAsia"/>
              </w:rPr>
              <w:t>2</w:t>
            </w:r>
            <w:r>
              <w:t>.11</w:t>
            </w:r>
            <w:r>
              <w:rPr>
                <w:rFonts w:hint="eastAsia"/>
              </w:rPr>
              <w:t>▲素材库资源资产性能要求：系统包含图形素材资源200个，系统包含场景素材资源200个，系统包含动物植物素材资源200个（须提供素材资源平台操作界面截图）。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tabs>
                <w:tab w:val="left" w:pos="1745"/>
              </w:tabs>
            </w:pPr>
            <w:r>
              <w:t>1.</w:t>
            </w:r>
            <w:r>
              <w:rPr>
                <w:rFonts w:hint="eastAsia"/>
              </w:rPr>
              <w:t>2.1</w:t>
            </w:r>
            <w:r>
              <w:t>2</w:t>
            </w:r>
            <w:r>
              <w:rPr>
                <w:rFonts w:hint="eastAsia"/>
              </w:rPr>
              <w:t>▲素材库资源可以具有缩略图查看，不同类型搜索功能，以及多个不同层级客户管理权限授权设置功能（须提供素材资源平台操作界面截图）。</w:t>
            </w: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4"/>
        <w:spacing w:before="156" w:beforeLines="50" w:after="156" w:afterLines="50"/>
        <w:rPr>
          <w:rFonts w:cs="宋体"/>
          <w:szCs w:val="28"/>
        </w:rPr>
      </w:pPr>
      <w:r>
        <w:rPr>
          <w:rFonts w:hint="eastAsia" w:cs="宋体"/>
          <w:szCs w:val="28"/>
        </w:rPr>
        <w:t>四、商务需求</w:t>
      </w:r>
    </w:p>
    <w:tbl>
      <w:tblPr>
        <w:tblStyle w:val="1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426" w:type="dxa"/>
            <w:gridSpan w:val="3"/>
            <w:vAlign w:val="center"/>
          </w:tcPr>
          <w:p>
            <w:pPr>
              <w:rPr>
                <w:rFonts w:ascii="宋体" w:hAnsi="宋体" w:cs="宋体"/>
                <w:b/>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宋体" w:hAnsi="宋体" w:cs="宋体"/>
                <w:b/>
              </w:rPr>
              <w:t>1</w:t>
            </w:r>
          </w:p>
        </w:tc>
        <w:tc>
          <w:tcPr>
            <w:tcW w:w="1559" w:type="dxa"/>
            <w:vAlign w:val="center"/>
          </w:tcPr>
          <w:p>
            <w:pPr>
              <w:rPr>
                <w:rFonts w:ascii="宋体" w:hAnsi="宋体" w:cs="宋体"/>
              </w:rPr>
            </w:pPr>
            <w:r>
              <w:rPr>
                <w:rFonts w:hint="eastAsia" w:ascii="宋体" w:hAnsi="宋体" w:cs="宋体"/>
                <w:b/>
                <w:color w:val="FF0000"/>
                <w:kern w:val="0"/>
                <w:sz w:val="20"/>
                <w:szCs w:val="20"/>
              </w:rPr>
              <w:t>★</w:t>
            </w:r>
            <w:r>
              <w:rPr>
                <w:rFonts w:hint="eastAsia" w:ascii="宋体" w:hAnsi="宋体" w:cs="宋体"/>
              </w:rPr>
              <w:t>免费保修期</w:t>
            </w:r>
          </w:p>
        </w:tc>
        <w:tc>
          <w:tcPr>
            <w:tcW w:w="6158" w:type="dxa"/>
          </w:tcPr>
          <w:p>
            <w:pPr>
              <w:rPr>
                <w:rFonts w:ascii="宋体" w:hAnsi="宋体" w:cs="宋体"/>
                <w:b/>
              </w:rPr>
            </w:pPr>
            <w:r>
              <w:rPr>
                <w:rFonts w:hint="eastAsia" w:ascii="宋体" w:hAnsi="宋体" w:cs="宋体"/>
                <w:bCs/>
                <w:szCs w:val="21"/>
              </w:rPr>
              <w:t>货物免费保修期</w:t>
            </w:r>
            <w:r>
              <w:rPr>
                <w:rFonts w:hint="eastAsia" w:ascii="宋体" w:hAnsi="宋体" w:cs="宋体"/>
                <w:bCs/>
                <w:szCs w:val="21"/>
                <w:u w:val="single"/>
              </w:rPr>
              <w:t xml:space="preserve">  1 </w:t>
            </w:r>
            <w:r>
              <w:rPr>
                <w:rFonts w:hint="eastAsia" w:ascii="宋体" w:hAnsi="宋体" w:cs="宋体"/>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宋体" w:hAnsi="宋体" w:cs="宋体"/>
                <w:b/>
              </w:rPr>
              <w:t>2</w:t>
            </w:r>
          </w:p>
        </w:tc>
        <w:tc>
          <w:tcPr>
            <w:tcW w:w="1559" w:type="dxa"/>
          </w:tcPr>
          <w:p>
            <w:pPr>
              <w:rPr>
                <w:rFonts w:ascii="宋体" w:hAnsi="宋体" w:cs="宋体"/>
              </w:rPr>
            </w:pPr>
            <w:r>
              <w:rPr>
                <w:rFonts w:hint="eastAsia" w:ascii="宋体" w:hAnsi="宋体" w:cs="宋体"/>
              </w:rPr>
              <w:t>维修响应及故障解决时间</w:t>
            </w:r>
          </w:p>
        </w:tc>
        <w:tc>
          <w:tcPr>
            <w:tcW w:w="6158" w:type="dxa"/>
          </w:tcPr>
          <w:p>
            <w:pPr>
              <w:rPr>
                <w:rFonts w:ascii="宋体" w:hAnsi="宋体" w:cs="宋体"/>
                <w:b/>
              </w:rPr>
            </w:pPr>
            <w:r>
              <w:rPr>
                <w:rFonts w:hint="eastAsia" w:ascii="宋体" w:hAnsi="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vAlign w:val="center"/>
          </w:tcPr>
          <w:p>
            <w:pPr>
              <w:rPr>
                <w:rFonts w:ascii="宋体" w:hAnsi="宋体" w:cs="宋体"/>
                <w:bCs/>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vAlign w:val="center"/>
          </w:tcPr>
          <w:p>
            <w:pPr>
              <w:jc w:val="center"/>
              <w:rPr>
                <w:rFonts w:ascii="宋体" w:hAnsi="宋体" w:cs="宋体"/>
                <w:b/>
                <w:szCs w:val="21"/>
              </w:rPr>
            </w:pPr>
            <w:r>
              <w:rPr>
                <w:rFonts w:hint="eastAsia" w:ascii="宋体" w:hAnsi="宋体" w:cs="宋体"/>
                <w:b/>
                <w:szCs w:val="21"/>
              </w:rPr>
              <w:t>1</w:t>
            </w:r>
          </w:p>
        </w:tc>
        <w:tc>
          <w:tcPr>
            <w:tcW w:w="1559" w:type="dxa"/>
            <w:vMerge w:val="restart"/>
            <w:vAlign w:val="center"/>
          </w:tcPr>
          <w:p>
            <w:pPr>
              <w:jc w:val="center"/>
              <w:rPr>
                <w:rFonts w:ascii="宋体" w:hAnsi="宋体" w:cs="宋体"/>
                <w:b/>
                <w:szCs w:val="21"/>
              </w:rPr>
            </w:pPr>
            <w:r>
              <w:rPr>
                <w:rFonts w:hint="eastAsia" w:ascii="宋体" w:hAnsi="宋体" w:cs="宋体"/>
                <w:b/>
                <w:color w:val="FF0000"/>
                <w:kern w:val="0"/>
                <w:sz w:val="20"/>
                <w:szCs w:val="20"/>
              </w:rPr>
              <w:t>★</w:t>
            </w:r>
            <w:r>
              <w:rPr>
                <w:rFonts w:hint="eastAsia" w:ascii="宋体" w:hAnsi="宋体" w:cs="宋体"/>
              </w:rPr>
              <w:t>关于交货期</w:t>
            </w:r>
          </w:p>
        </w:tc>
        <w:tc>
          <w:tcPr>
            <w:tcW w:w="6158" w:type="dxa"/>
          </w:tcPr>
          <w:p>
            <w:pPr>
              <w:rPr>
                <w:rFonts w:ascii="宋体" w:hAnsi="宋体" w:cs="宋体"/>
                <w:bCs/>
                <w:szCs w:val="21"/>
              </w:rPr>
            </w:pPr>
            <w:r>
              <w:rPr>
                <w:rFonts w:hint="eastAsia" w:ascii="宋体" w:hAnsi="宋体" w:cs="宋体"/>
                <w:bCs/>
                <w:szCs w:val="21"/>
              </w:rPr>
              <w:t>1.签订合同之日起</w:t>
            </w:r>
            <w:r>
              <w:rPr>
                <w:rFonts w:hint="eastAsia" w:ascii="宋体" w:hAnsi="宋体" w:cs="宋体"/>
                <w:bCs/>
                <w:szCs w:val="21"/>
                <w:u w:val="single"/>
              </w:rPr>
              <w:t xml:space="preserve">  7  </w:t>
            </w:r>
            <w:r>
              <w:rPr>
                <w:rFonts w:hint="eastAsia" w:ascii="宋体" w:hAnsi="宋体" w:cs="宋体"/>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szCs w:val="21"/>
              </w:rPr>
            </w:pPr>
          </w:p>
        </w:tc>
        <w:tc>
          <w:tcPr>
            <w:tcW w:w="1559" w:type="dxa"/>
            <w:vMerge w:val="continue"/>
            <w:vAlign w:val="center"/>
          </w:tcPr>
          <w:p>
            <w:pPr>
              <w:jc w:val="center"/>
              <w:rPr>
                <w:rFonts w:ascii="宋体" w:hAnsi="宋体" w:cs="宋体"/>
                <w:b/>
                <w:szCs w:val="21"/>
              </w:rPr>
            </w:pPr>
          </w:p>
        </w:tc>
        <w:tc>
          <w:tcPr>
            <w:tcW w:w="6158" w:type="dxa"/>
          </w:tcPr>
          <w:p>
            <w:pPr>
              <w:rPr>
                <w:rFonts w:ascii="宋体" w:hAnsi="宋体" w:cs="宋体"/>
                <w:bCs/>
                <w:szCs w:val="21"/>
              </w:rPr>
            </w:pPr>
            <w:r>
              <w:rPr>
                <w:rFonts w:hint="eastAsia" w:ascii="宋体" w:hAnsi="宋体" w:cs="宋体"/>
                <w:bCs/>
                <w:szCs w:val="21"/>
              </w:rPr>
              <w:t>2.投标人必须承担的货物运输、安装调试、验收检测和提供货物操作说明书等其他类似的义务。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b/>
                <w:szCs w:val="21"/>
              </w:rPr>
            </w:pPr>
            <w:r>
              <w:rPr>
                <w:rFonts w:hint="eastAsia" w:ascii="宋体" w:hAnsi="宋体" w:cs="宋体"/>
                <w:b/>
                <w:szCs w:val="21"/>
              </w:rPr>
              <w:t>2</w:t>
            </w:r>
          </w:p>
        </w:tc>
        <w:tc>
          <w:tcPr>
            <w:tcW w:w="1559" w:type="dxa"/>
            <w:vMerge w:val="restart"/>
            <w:vAlign w:val="center"/>
          </w:tcPr>
          <w:p>
            <w:pPr>
              <w:jc w:val="center"/>
              <w:rPr>
                <w:rFonts w:ascii="宋体" w:hAnsi="宋体" w:cs="宋体"/>
                <w:b/>
                <w:szCs w:val="21"/>
              </w:rPr>
            </w:pPr>
            <w:r>
              <w:rPr>
                <w:rFonts w:hint="eastAsia" w:ascii="宋体" w:hAnsi="宋体" w:cs="宋体"/>
                <w:b/>
                <w:color w:val="FF0000"/>
                <w:kern w:val="0"/>
                <w:sz w:val="20"/>
                <w:szCs w:val="20"/>
              </w:rPr>
              <w:t>★</w:t>
            </w:r>
            <w:r>
              <w:rPr>
                <w:rFonts w:hint="eastAsia" w:ascii="宋体" w:hAnsi="宋体" w:cs="宋体"/>
              </w:rPr>
              <w:t>关于验收</w:t>
            </w:r>
          </w:p>
        </w:tc>
        <w:tc>
          <w:tcPr>
            <w:tcW w:w="6158" w:type="dxa"/>
          </w:tcPr>
          <w:p>
            <w:pPr>
              <w:spacing w:line="340" w:lineRule="exact"/>
              <w:rPr>
                <w:rFonts w:ascii="宋体" w:hAnsi="宋体" w:cs="宋体"/>
                <w:bCs/>
                <w:szCs w:val="21"/>
              </w:rPr>
            </w:pPr>
            <w:r>
              <w:rPr>
                <w:rFonts w:hint="eastAsia" w:ascii="宋体" w:hAnsi="宋体" w:cs="宋体"/>
                <w:bCs/>
                <w:szCs w:val="21"/>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szCs w:val="21"/>
              </w:rPr>
            </w:pPr>
          </w:p>
        </w:tc>
        <w:tc>
          <w:tcPr>
            <w:tcW w:w="1559" w:type="dxa"/>
            <w:vMerge w:val="continue"/>
          </w:tcPr>
          <w:p>
            <w:pPr>
              <w:rPr>
                <w:rFonts w:ascii="宋体" w:hAnsi="宋体" w:cs="宋体"/>
                <w:b/>
                <w:szCs w:val="21"/>
              </w:rPr>
            </w:pPr>
          </w:p>
        </w:tc>
        <w:tc>
          <w:tcPr>
            <w:tcW w:w="6158" w:type="dxa"/>
          </w:tcPr>
          <w:p>
            <w:pPr>
              <w:tabs>
                <w:tab w:val="left" w:pos="1260"/>
              </w:tabs>
              <w:spacing w:line="340" w:lineRule="exact"/>
              <w:rPr>
                <w:rFonts w:ascii="宋体" w:hAnsi="宋体" w:cs="宋体"/>
                <w:bCs/>
                <w:szCs w:val="21"/>
              </w:rPr>
            </w:pPr>
            <w:r>
              <w:rPr>
                <w:rFonts w:hint="eastAsia" w:ascii="宋体" w:hAnsi="宋体" w:cs="宋体"/>
                <w:bCs/>
                <w:szCs w:val="21"/>
              </w:rPr>
              <w:t>2.当满足以下条件时，采购人才向中标人签发货物验收报告：</w:t>
            </w:r>
          </w:p>
          <w:p>
            <w:pPr>
              <w:tabs>
                <w:tab w:val="left" w:pos="1260"/>
              </w:tabs>
              <w:spacing w:line="340" w:lineRule="exact"/>
              <w:rPr>
                <w:rFonts w:ascii="宋体" w:hAnsi="宋体" w:cs="宋体"/>
                <w:bCs/>
                <w:szCs w:val="21"/>
              </w:rPr>
            </w:pPr>
            <w:r>
              <w:rPr>
                <w:rFonts w:hint="eastAsia" w:ascii="宋体" w:hAnsi="宋体" w:cs="宋体"/>
                <w:bCs/>
                <w:szCs w:val="21"/>
              </w:rPr>
              <w:t>a、中标人已按照合同规定提供了全部产品及完整的技术资料。</w:t>
            </w:r>
          </w:p>
          <w:p>
            <w:pPr>
              <w:tabs>
                <w:tab w:val="left" w:pos="1260"/>
              </w:tabs>
              <w:spacing w:line="340" w:lineRule="exact"/>
              <w:rPr>
                <w:rFonts w:ascii="宋体" w:hAnsi="宋体" w:cs="宋体"/>
                <w:bCs/>
                <w:szCs w:val="21"/>
                <w:highlight w:val="yellow"/>
              </w:rPr>
            </w:pPr>
            <w:r>
              <w:rPr>
                <w:rFonts w:hint="eastAsia" w:ascii="宋体" w:hAnsi="宋体" w:cs="宋体"/>
                <w:bCs/>
                <w:szCs w:val="21"/>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1559" w:type="dxa"/>
            <w:vAlign w:val="center"/>
          </w:tcPr>
          <w:p>
            <w:pPr>
              <w:jc w:val="center"/>
              <w:rPr>
                <w:rFonts w:ascii="宋体" w:hAnsi="宋体" w:cs="宋体"/>
                <w:b/>
                <w:szCs w:val="21"/>
              </w:rPr>
            </w:pPr>
            <w:r>
              <w:rPr>
                <w:rFonts w:hint="eastAsia" w:ascii="宋体" w:hAnsi="宋体" w:cs="宋体"/>
                <w:color w:val="FF0000"/>
                <w:kern w:val="0"/>
                <w:sz w:val="20"/>
                <w:szCs w:val="20"/>
              </w:rPr>
              <w:t>★</w:t>
            </w:r>
            <w:r>
              <w:rPr>
                <w:rFonts w:hint="eastAsia" w:ascii="宋体" w:hAnsi="宋体" w:cs="宋体"/>
                <w:szCs w:val="21"/>
              </w:rPr>
              <w:t>付款方式</w:t>
            </w:r>
          </w:p>
        </w:tc>
        <w:tc>
          <w:tcPr>
            <w:tcW w:w="6158" w:type="dxa"/>
            <w:vAlign w:val="center"/>
          </w:tcPr>
          <w:p>
            <w:pPr>
              <w:rPr>
                <w:rFonts w:ascii="宋体" w:hAnsi="宋体" w:cs="宋体"/>
                <w:bCs/>
                <w:szCs w:val="21"/>
              </w:rPr>
            </w:pPr>
            <w:r>
              <w:rPr>
                <w:rFonts w:hint="eastAsia" w:ascii="宋体" w:hAnsi="宋体" w:cs="宋体"/>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1559" w:type="dxa"/>
            <w:vAlign w:val="center"/>
          </w:tcPr>
          <w:p>
            <w:pPr>
              <w:jc w:val="center"/>
              <w:rPr>
                <w:rFonts w:ascii="宋体" w:hAnsi="宋体" w:cs="宋体"/>
                <w:b/>
                <w:szCs w:val="21"/>
              </w:rPr>
            </w:pPr>
            <w:r>
              <w:rPr>
                <w:rFonts w:hint="eastAsia" w:ascii="宋体" w:hAnsi="宋体" w:cs="宋体"/>
                <w:color w:val="FF0000"/>
                <w:kern w:val="0"/>
                <w:sz w:val="20"/>
                <w:szCs w:val="20"/>
              </w:rPr>
              <w:t>★</w:t>
            </w:r>
            <w:r>
              <w:rPr>
                <w:rFonts w:hint="eastAsia" w:ascii="宋体" w:hAnsi="宋体" w:cs="宋体"/>
                <w:kern w:val="0"/>
                <w:szCs w:val="21"/>
              </w:rPr>
              <w:t>诚信履约</w:t>
            </w:r>
          </w:p>
        </w:tc>
        <w:tc>
          <w:tcPr>
            <w:tcW w:w="6158" w:type="dxa"/>
            <w:vAlign w:val="center"/>
          </w:tcPr>
          <w:p>
            <w:pPr>
              <w:rPr>
                <w:rFonts w:ascii="宋体" w:hAnsi="宋体" w:cs="宋体"/>
                <w:bCs/>
                <w:szCs w:val="21"/>
              </w:rPr>
            </w:pPr>
            <w:r>
              <w:rPr>
                <w:rFonts w:hint="eastAsia" w:ascii="宋体" w:hAnsi="宋体" w:cs="宋体"/>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1"/>
        <w:ind w:firstLine="422"/>
        <w:rPr>
          <w:rFonts w:ascii="宋体" w:hAnsi="宋体" w:cs="宋体"/>
          <w:b/>
        </w:rPr>
      </w:pPr>
    </w:p>
    <w:p>
      <w:pPr>
        <w:pStyle w:val="11"/>
        <w:ind w:firstLine="422"/>
        <w:rPr>
          <w:rFonts w:ascii="宋体" w:hAnsi="宋体" w:cs="宋体"/>
          <w:b/>
        </w:rPr>
      </w:pPr>
    </w:p>
    <w:p>
      <w:pPr>
        <w:pStyle w:val="3"/>
      </w:pPr>
      <w:r>
        <w:rPr>
          <w:rFonts w:hint="eastAsia"/>
        </w:rPr>
        <w:t>第三章  投标文件格式</w:t>
      </w:r>
    </w:p>
    <w:p>
      <w:pPr>
        <w:rPr>
          <w:rStyle w:val="25"/>
          <w:rFonts w:ascii="宋体" w:hAnsi="宋体" w:eastAsia="宋体" w:cs="宋体"/>
          <w:sz w:val="28"/>
          <w:szCs w:val="28"/>
        </w:rPr>
      </w:pPr>
      <w:r>
        <w:rPr>
          <w:rStyle w:val="25"/>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5"/>
        <w:numPr>
          <w:ilvl w:val="0"/>
          <w:numId w:val="3"/>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5"/>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5"/>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5"/>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5"/>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5"/>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5"/>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6"/>
      </w:pP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0DF69456"/>
    <w:multiLevelType w:val="singleLevel"/>
    <w:tmpl w:val="0DF69456"/>
    <w:lvl w:ilvl="0" w:tentative="0">
      <w:start w:val="1"/>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xMDM0MzI5MGQ4MjJjNjFiM2IwNjViZGFiYzQyNWYifQ=="/>
  </w:docVars>
  <w:rsids>
    <w:rsidRoot w:val="008E06EA"/>
    <w:rsid w:val="00025CB8"/>
    <w:rsid w:val="000958E5"/>
    <w:rsid w:val="001338D7"/>
    <w:rsid w:val="002B1235"/>
    <w:rsid w:val="00324DC9"/>
    <w:rsid w:val="00390C90"/>
    <w:rsid w:val="003C1F11"/>
    <w:rsid w:val="003C75D3"/>
    <w:rsid w:val="003D140B"/>
    <w:rsid w:val="005821A2"/>
    <w:rsid w:val="006E065C"/>
    <w:rsid w:val="006E43F1"/>
    <w:rsid w:val="0079565D"/>
    <w:rsid w:val="007D2467"/>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00FF0673"/>
    <w:rsid w:val="0AFF2E86"/>
    <w:rsid w:val="0C5061D5"/>
    <w:rsid w:val="0F3547CF"/>
    <w:rsid w:val="1EF81C6E"/>
    <w:rsid w:val="26B82091"/>
    <w:rsid w:val="2AFD30C8"/>
    <w:rsid w:val="3C602787"/>
    <w:rsid w:val="3C740F3C"/>
    <w:rsid w:val="411F02FE"/>
    <w:rsid w:val="45292400"/>
    <w:rsid w:val="4B465BD2"/>
    <w:rsid w:val="4E273257"/>
    <w:rsid w:val="52B37A56"/>
    <w:rsid w:val="565A0366"/>
    <w:rsid w:val="56FD4B65"/>
    <w:rsid w:val="5FA42BC0"/>
    <w:rsid w:val="650011DD"/>
    <w:rsid w:val="6BBD7F7B"/>
    <w:rsid w:val="6EC91D52"/>
    <w:rsid w:val="6EE92007"/>
    <w:rsid w:val="706633D4"/>
    <w:rsid w:val="772174F0"/>
    <w:rsid w:val="773A3D47"/>
    <w:rsid w:val="7C6F0B02"/>
    <w:rsid w:val="7CF22264"/>
    <w:rsid w:val="7EAF0708"/>
    <w:rsid w:val="7FF83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8"/>
    <w:qFormat/>
    <w:uiPriority w:val="0"/>
    <w:pPr>
      <w:jc w:val="left"/>
    </w:pPr>
  </w:style>
  <w:style w:type="paragraph" w:styleId="7">
    <w:name w:val="Normal Indent"/>
    <w:basedOn w:val="1"/>
    <w:qFormat/>
    <w:uiPriority w:val="0"/>
    <w:pPr>
      <w:ind w:firstLine="420" w:firstLineChars="200"/>
    </w:pPr>
  </w:style>
  <w:style w:type="paragraph" w:styleId="8">
    <w:name w:val="Body Text"/>
    <w:basedOn w:val="1"/>
    <w:next w:val="9"/>
    <w:qFormat/>
    <w:uiPriority w:val="0"/>
    <w:pPr>
      <w:spacing w:line="360" w:lineRule="auto"/>
    </w:pPr>
    <w:rPr>
      <w:b/>
      <w:bCs/>
      <w:sz w:val="24"/>
    </w:rPr>
  </w:style>
  <w:style w:type="paragraph" w:styleId="9">
    <w:name w:val="toc 5"/>
    <w:basedOn w:val="1"/>
    <w:next w:val="1"/>
    <w:unhideWhenUsed/>
    <w:qFormat/>
    <w:uiPriority w:val="0"/>
    <w:pPr>
      <w:ind w:left="840"/>
      <w:jc w:val="left"/>
    </w:pPr>
    <w:rPr>
      <w:rFonts w:ascii="Calibri" w:hAnsi="Calibri"/>
      <w:sz w:val="18"/>
      <w:szCs w:val="18"/>
    </w:rPr>
  </w:style>
  <w:style w:type="paragraph" w:styleId="10">
    <w:name w:val="Body Text Indent"/>
    <w:basedOn w:val="1"/>
    <w:next w:val="11"/>
    <w:qFormat/>
    <w:uiPriority w:val="0"/>
    <w:pPr>
      <w:spacing w:line="360" w:lineRule="auto"/>
      <w:ind w:firstLine="420" w:firstLineChars="200"/>
    </w:pPr>
  </w:style>
  <w:style w:type="paragraph" w:styleId="11">
    <w:name w:val="Body Text First Indent 2"/>
    <w:basedOn w:val="10"/>
    <w:unhideWhenUsed/>
    <w:qFormat/>
    <w:uiPriority w:val="99"/>
    <w:pPr>
      <w:spacing w:after="120"/>
      <w:ind w:left="420" w:leftChars="200"/>
    </w:pPr>
    <w:rPr>
      <w:rFonts w:ascii="Calibri" w:hAnsi="Calibri"/>
      <w:szCs w:val="22"/>
    </w:r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paragraph" w:styleId="16">
    <w:name w:val="annotation subject"/>
    <w:basedOn w:val="2"/>
    <w:next w:val="2"/>
    <w:link w:val="29"/>
    <w:uiPriority w:val="0"/>
    <w:rPr>
      <w:b/>
      <w:bCs/>
    </w:rPr>
  </w:style>
  <w:style w:type="character" w:styleId="19">
    <w:name w:val="Strong"/>
    <w:basedOn w:val="18"/>
    <w:qFormat/>
    <w:uiPriority w:val="22"/>
    <w:rPr>
      <w:b/>
      <w:bCs/>
    </w:rPr>
  </w:style>
  <w:style w:type="character" w:styleId="20">
    <w:name w:val="FollowedHyperlink"/>
    <w:basedOn w:val="18"/>
    <w:qFormat/>
    <w:uiPriority w:val="0"/>
    <w:rPr>
      <w:color w:val="954F72" w:themeColor="followedHyperlink"/>
      <w:u w:val="single"/>
    </w:rPr>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paragraph" w:customStyle="1" w:styleId="23">
    <w:name w:val="列表 21"/>
    <w:basedOn w:val="1"/>
    <w:qFormat/>
    <w:uiPriority w:val="0"/>
    <w:pPr>
      <w:suppressAutoHyphens/>
      <w:ind w:left="100" w:hanging="200"/>
    </w:pPr>
    <w:rPr>
      <w:kern w:val="1"/>
    </w:rPr>
  </w:style>
  <w:style w:type="paragraph" w:customStyle="1" w:styleId="24">
    <w:name w:val="表格文字"/>
    <w:basedOn w:val="1"/>
    <w:qFormat/>
    <w:uiPriority w:val="99"/>
    <w:pPr>
      <w:spacing w:before="25" w:after="25"/>
    </w:pPr>
    <w:rPr>
      <w:spacing w:val="10"/>
      <w:sz w:val="24"/>
    </w:rPr>
  </w:style>
  <w:style w:type="character" w:customStyle="1" w:styleId="25">
    <w:name w:val="标题 3 Char"/>
    <w:qFormat/>
    <w:uiPriority w:val="0"/>
    <w:rPr>
      <w:rFonts w:ascii="黑体" w:eastAsia="黑体"/>
      <w:bCs/>
      <w:sz w:val="30"/>
    </w:rPr>
  </w:style>
  <w:style w:type="character" w:customStyle="1" w:styleId="26">
    <w:name w:val="Unresolved Mention"/>
    <w:basedOn w:val="18"/>
    <w:semiHidden/>
    <w:unhideWhenUsed/>
    <w:qFormat/>
    <w:uiPriority w:val="99"/>
    <w:rPr>
      <w:color w:val="605E5C"/>
      <w:shd w:val="clear" w:color="auto" w:fill="E1DFDD"/>
    </w:rPr>
  </w:style>
  <w:style w:type="character" w:customStyle="1" w:styleId="27">
    <w:name w:val="批注框文本 字符"/>
    <w:basedOn w:val="18"/>
    <w:link w:val="12"/>
    <w:qFormat/>
    <w:uiPriority w:val="0"/>
    <w:rPr>
      <w:kern w:val="2"/>
      <w:sz w:val="18"/>
      <w:szCs w:val="18"/>
    </w:rPr>
  </w:style>
  <w:style w:type="character" w:customStyle="1" w:styleId="28">
    <w:name w:val="批注文字 字符"/>
    <w:basedOn w:val="18"/>
    <w:link w:val="2"/>
    <w:uiPriority w:val="0"/>
    <w:rPr>
      <w:kern w:val="2"/>
      <w:sz w:val="21"/>
      <w:szCs w:val="24"/>
    </w:rPr>
  </w:style>
  <w:style w:type="character" w:customStyle="1" w:styleId="29">
    <w:name w:val="批注主题 字符"/>
    <w:basedOn w:val="28"/>
    <w:link w:val="16"/>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9236</Words>
  <Characters>9629</Characters>
  <Lines>76</Lines>
  <Paragraphs>21</Paragraphs>
  <TotalTime>0</TotalTime>
  <ScaleCrop>false</ScaleCrop>
  <LinksUpToDate>false</LinksUpToDate>
  <CharactersWithSpaces>10143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15001</cp:lastModifiedBy>
  <cp:lastPrinted>2023-10-13T03:02:00Z</cp:lastPrinted>
  <dcterms:modified xsi:type="dcterms:W3CDTF">2023-11-14T10:57:53Z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FD6E686AA8F54FA38A5CBE3EAA1F9D5D_13</vt:lpwstr>
  </property>
</Properties>
</file>