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50"/>
          <w:szCs w:val="44"/>
        </w:rPr>
      </w:pPr>
    </w:p>
    <w:p>
      <w:pPr>
        <w:adjustRightInd w:val="0"/>
        <w:snapToGrid w:val="0"/>
        <w:jc w:val="center"/>
        <w:rPr>
          <w:rFonts w:ascii="华文中宋" w:hAnsi="华文中宋" w:eastAsia="华文中宋"/>
          <w:b/>
          <w:bCs/>
          <w:sz w:val="50"/>
          <w:szCs w:val="44"/>
        </w:rPr>
      </w:pPr>
    </w:p>
    <w:p>
      <w:pPr>
        <w:adjustRightInd w:val="0"/>
        <w:snapToGrid w:val="0"/>
        <w:jc w:val="center"/>
        <w:rPr>
          <w:rFonts w:ascii="华文中宋" w:hAnsi="华文中宋" w:eastAsia="华文中宋"/>
          <w:b/>
          <w:bCs/>
          <w:sz w:val="48"/>
          <w:szCs w:val="40"/>
        </w:rPr>
      </w:pPr>
      <w:r>
        <w:rPr>
          <w:rFonts w:hint="eastAsia" w:ascii="华文中宋" w:hAnsi="华文中宋" w:eastAsia="华文中宋"/>
          <w:b/>
          <w:bCs/>
          <w:sz w:val="48"/>
          <w:szCs w:val="40"/>
        </w:rPr>
        <w:t>深圳市第一职业技术学校</w:t>
      </w:r>
    </w:p>
    <w:p>
      <w:pPr>
        <w:adjustRightInd w:val="0"/>
        <w:snapToGrid w:val="0"/>
        <w:jc w:val="center"/>
        <w:rPr>
          <w:rFonts w:ascii="华文中宋" w:hAnsi="华文中宋" w:eastAsia="华文中宋"/>
          <w:b/>
          <w:bCs/>
          <w:sz w:val="48"/>
          <w:szCs w:val="40"/>
        </w:rPr>
      </w:pPr>
      <w:r>
        <w:rPr>
          <w:rFonts w:hint="eastAsia" w:ascii="华文中宋" w:hAnsi="华文中宋" w:eastAsia="华文中宋"/>
          <w:b/>
          <w:bCs/>
          <w:sz w:val="48"/>
          <w:szCs w:val="40"/>
        </w:rPr>
        <w:t>一卡通系统升级采购项目</w:t>
      </w:r>
    </w:p>
    <w:p>
      <w:pPr>
        <w:adjustRightInd w:val="0"/>
        <w:snapToGrid w:val="0"/>
        <w:jc w:val="center"/>
        <w:rPr>
          <w:rFonts w:ascii="华文中宋" w:hAnsi="华文中宋" w:eastAsia="华文中宋"/>
          <w:b/>
          <w:bCs/>
          <w:sz w:val="48"/>
          <w:szCs w:val="40"/>
        </w:rPr>
      </w:pPr>
      <w:r>
        <w:rPr>
          <w:rFonts w:hint="eastAsia" w:ascii="华文中宋" w:hAnsi="华文中宋" w:eastAsia="华文中宋"/>
          <w:b/>
          <w:bCs/>
          <w:sz w:val="48"/>
          <w:szCs w:val="40"/>
        </w:rPr>
        <w:t>招标文件</w:t>
      </w: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spacing w:after="156" w:afterLines="50" w:line="320" w:lineRule="exact"/>
        <w:jc w:val="center"/>
        <w:rPr>
          <w:rFonts w:ascii="宋体" w:hAnsi="宋体" w:cs="Arial"/>
          <w:b/>
          <w:sz w:val="24"/>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widowControl/>
        <w:jc w:val="center"/>
        <w:rPr>
          <w:rFonts w:ascii="黑体" w:hAnsi="华文中宋" w:eastAsia="黑体" w:cs="Arial"/>
          <w:szCs w:val="21"/>
        </w:rPr>
      </w:pPr>
      <w:r>
        <w:rPr>
          <w:rFonts w:hint="eastAsia" w:ascii="黑体" w:hAnsi="华文中宋" w:eastAsia="黑体" w:cs="Arial"/>
          <w:sz w:val="32"/>
          <w:szCs w:val="32"/>
        </w:rPr>
        <w:t>深圳市第一职业技术学校</w:t>
      </w:r>
    </w:p>
    <w:p>
      <w:pPr>
        <w:widowControl/>
        <w:spacing w:line="480" w:lineRule="exact"/>
        <w:jc w:val="center"/>
        <w:rPr>
          <w:rFonts w:ascii="宋体" w:hAnsi="宋体" w:cs="宋体"/>
        </w:rPr>
      </w:pPr>
      <w:r>
        <w:rPr>
          <w:rFonts w:hint="eastAsia" w:ascii="黑体" w:hAnsi="华文中宋" w:eastAsia="黑体" w:cs="Arial"/>
          <w:sz w:val="32"/>
          <w:szCs w:val="32"/>
        </w:rPr>
        <w:t>二</w:t>
      </w:r>
      <w:r>
        <w:rPr>
          <w:rFonts w:hint="eastAsia" w:ascii="黑体" w:hAnsi="华文中宋" w:eastAsia="黑体"/>
          <w:sz w:val="28"/>
          <w:szCs w:val="28"/>
        </w:rPr>
        <w:t>○</w:t>
      </w:r>
      <w:r>
        <w:rPr>
          <w:rFonts w:hint="eastAsia" w:ascii="黑体" w:hAnsi="华文中宋" w:eastAsia="黑体" w:cs="Arial"/>
          <w:sz w:val="32"/>
          <w:szCs w:val="32"/>
        </w:rPr>
        <w:t>二四年四月十日</w:t>
      </w:r>
      <w:r>
        <w:rPr>
          <w:rFonts w:hint="eastAsia" w:ascii="宋体" w:hAnsi="宋体" w:cs="宋体"/>
          <w:sz w:val="32"/>
          <w:szCs w:val="32"/>
        </w:rPr>
        <w:br w:type="page"/>
      </w:r>
    </w:p>
    <w:p>
      <w:pPr>
        <w:pStyle w:val="3"/>
      </w:pPr>
      <w:r>
        <w:rPr>
          <w:rFonts w:hint="eastAsia"/>
        </w:rPr>
        <w:t>第一章项目评审信息</w:t>
      </w:r>
    </w:p>
    <w:p>
      <w:pPr>
        <w:adjustRightInd w:val="0"/>
        <w:snapToGrid w:val="0"/>
        <w:spacing w:line="360" w:lineRule="auto"/>
        <w:rPr>
          <w:rFonts w:ascii="宋体" w:hAnsi="宋体" w:cs="宋体"/>
          <w:szCs w:val="21"/>
        </w:rPr>
      </w:pPr>
      <w:r>
        <w:rPr>
          <w:rFonts w:hint="eastAsia" w:ascii="宋体" w:hAnsi="宋体" w:cs="宋体"/>
          <w:szCs w:val="21"/>
        </w:rPr>
        <w:t>项目名称：深圳市第一职业技术学校一卡通系统升级采购项目</w:t>
      </w:r>
    </w:p>
    <w:p>
      <w:pPr>
        <w:adjustRightInd w:val="0"/>
        <w:snapToGrid w:val="0"/>
        <w:spacing w:line="360" w:lineRule="auto"/>
        <w:rPr>
          <w:rFonts w:ascii="宋体" w:hAnsi="宋体" w:cs="宋体"/>
          <w:szCs w:val="21"/>
        </w:rPr>
      </w:pPr>
      <w:r>
        <w:rPr>
          <w:rFonts w:hint="eastAsia" w:ascii="宋体" w:hAnsi="宋体" w:cs="宋体"/>
          <w:szCs w:val="21"/>
        </w:rPr>
        <w:t>项目类型：货物类</w:t>
      </w:r>
    </w:p>
    <w:p>
      <w:pPr>
        <w:adjustRightInd w:val="0"/>
        <w:snapToGrid w:val="0"/>
        <w:spacing w:line="360" w:lineRule="auto"/>
        <w:rPr>
          <w:rFonts w:ascii="宋体" w:hAnsi="宋体" w:cs="宋体"/>
          <w:szCs w:val="21"/>
        </w:rPr>
      </w:pPr>
      <w:r>
        <w:rPr>
          <w:rFonts w:hint="eastAsia" w:ascii="宋体" w:hAnsi="宋体" w:cs="宋体"/>
          <w:szCs w:val="21"/>
        </w:rPr>
        <w:t>采购方式：公开招标</w:t>
      </w:r>
    </w:p>
    <w:p>
      <w:pPr>
        <w:adjustRightInd w:val="0"/>
        <w:snapToGrid w:val="0"/>
        <w:spacing w:line="360" w:lineRule="auto"/>
        <w:rPr>
          <w:rFonts w:ascii="宋体" w:hAnsi="宋体" w:cs="宋体"/>
          <w:szCs w:val="21"/>
        </w:rPr>
      </w:pPr>
      <w:r>
        <w:rPr>
          <w:rFonts w:hint="eastAsia" w:ascii="宋体" w:hAnsi="宋体" w:cs="宋体"/>
          <w:szCs w:val="21"/>
        </w:rPr>
        <w:t>货币类型：人民币</w:t>
      </w:r>
    </w:p>
    <w:p>
      <w:pPr>
        <w:pStyle w:val="6"/>
        <w:rPr>
          <w:rFonts w:cs="宋体"/>
          <w:szCs w:val="28"/>
        </w:rPr>
      </w:pPr>
      <w:r>
        <w:rPr>
          <w:rFonts w:hint="eastAsia" w:cs="宋体"/>
          <w:szCs w:val="28"/>
        </w:rPr>
        <w:t>投标文件初审表</w:t>
      </w:r>
    </w:p>
    <w:p>
      <w:pPr>
        <w:spacing w:after="112" w:afterLines="36"/>
        <w:jc w:val="center"/>
        <w:rPr>
          <w:rFonts w:ascii="宋体" w:hAnsi="宋体" w:cs="宋体"/>
          <w:b/>
        </w:rPr>
      </w:pPr>
      <w:r>
        <w:rPr>
          <w:rFonts w:hint="eastAsia" w:ascii="宋体" w:hAnsi="宋体" w:cs="宋体"/>
          <w:b/>
        </w:rPr>
        <w:t>（凡有下列情形之一的，投标文件无效，投标作废标处理）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22" w:type="dxa"/>
            <w:gridSpan w:val="2"/>
            <w:vAlign w:val="center"/>
          </w:tcPr>
          <w:p>
            <w:pPr>
              <w:rPr>
                <w:rFonts w:ascii="宋体" w:hAnsi="宋体" w:cs="宋体"/>
              </w:rPr>
            </w:pPr>
            <w:r>
              <w:rPr>
                <w:rFonts w:hint="eastAsia" w:ascii="宋体" w:hAnsi="宋体" w:cs="宋体"/>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1</w:t>
            </w:r>
          </w:p>
        </w:tc>
        <w:tc>
          <w:tcPr>
            <w:tcW w:w="7988" w:type="dxa"/>
            <w:vAlign w:val="center"/>
          </w:tcPr>
          <w:p>
            <w:pPr>
              <w:rPr>
                <w:rFonts w:ascii="宋体" w:hAnsi="宋体" w:cs="宋体"/>
                <w:b/>
              </w:rPr>
            </w:pPr>
            <w:r>
              <w:rPr>
                <w:rFonts w:hint="eastAsia" w:ascii="宋体" w:hAnsi="宋体" w:cs="宋体"/>
                <w:b/>
              </w:rPr>
              <w:t>投标人不具备招标文件所列的资格要求，或未提交相应的资格证明资料（详见招标公告投标人资格要求）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22" w:type="dxa"/>
            <w:gridSpan w:val="2"/>
            <w:vAlign w:val="center"/>
          </w:tcPr>
          <w:p>
            <w:pPr>
              <w:rPr>
                <w:rFonts w:ascii="宋体" w:hAnsi="宋体" w:cs="宋体"/>
              </w:rPr>
            </w:pPr>
            <w:r>
              <w:rPr>
                <w:rFonts w:hint="eastAsia" w:ascii="宋体" w:hAnsi="宋体" w:cs="宋体"/>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2</w:t>
            </w:r>
          </w:p>
        </w:tc>
        <w:tc>
          <w:tcPr>
            <w:tcW w:w="7988" w:type="dxa"/>
            <w:vAlign w:val="center"/>
          </w:tcPr>
          <w:p>
            <w:pPr>
              <w:rPr>
                <w:rFonts w:ascii="宋体" w:hAnsi="宋体" w:cs="宋体"/>
              </w:rPr>
            </w:pPr>
            <w:r>
              <w:rPr>
                <w:rFonts w:hint="eastAsia" w:ascii="宋体" w:hAnsi="宋体" w:cs="宋体"/>
              </w:rPr>
              <w:t>未按招标文件对投标文件组成的要求提供投标文件的（投标文件组成不完整）</w:t>
            </w:r>
            <w:r>
              <w:rPr>
                <w:rFonts w:hint="eastAsia" w:ascii="宋体" w:hAnsi="宋体" w:cs="宋体"/>
                <w:b/>
                <w:color w:val="FF0000"/>
              </w:rPr>
              <w:t>或</w:t>
            </w:r>
            <w:r>
              <w:rPr>
                <w:rFonts w:hint="eastAsia" w:ascii="宋体" w:hAnsi="宋体" w:cs="宋体"/>
              </w:rPr>
              <w:t>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3</w:t>
            </w:r>
          </w:p>
        </w:tc>
        <w:tc>
          <w:tcPr>
            <w:tcW w:w="7988" w:type="dxa"/>
            <w:vAlign w:val="center"/>
          </w:tcPr>
          <w:p>
            <w:pPr>
              <w:rPr>
                <w:rFonts w:ascii="宋体" w:hAnsi="宋体" w:cs="宋体"/>
              </w:rPr>
            </w:pPr>
            <w:r>
              <w:rPr>
                <w:rFonts w:hint="eastAsia" w:ascii="宋体" w:hAnsi="宋体" w:cs="宋体"/>
                <w:b/>
              </w:rPr>
              <w:t>《技术规格偏离表》或《商务需求偏离表》填写不全或不实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4</w:t>
            </w:r>
          </w:p>
        </w:tc>
        <w:tc>
          <w:tcPr>
            <w:tcW w:w="7988" w:type="dxa"/>
            <w:vAlign w:val="center"/>
          </w:tcPr>
          <w:p>
            <w:pPr>
              <w:rPr>
                <w:rFonts w:ascii="宋体" w:hAnsi="宋体" w:cs="宋体"/>
              </w:rPr>
            </w:pPr>
            <w:r>
              <w:rPr>
                <w:rFonts w:hint="eastAsia" w:ascii="宋体" w:hAnsi="宋体" w:cs="宋体"/>
              </w:rPr>
              <w:t>投标总价高于预算限额的或报价低于其成本且不能做出合理说明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5</w:t>
            </w:r>
          </w:p>
        </w:tc>
        <w:tc>
          <w:tcPr>
            <w:tcW w:w="7988" w:type="dxa"/>
            <w:vAlign w:val="center"/>
          </w:tcPr>
          <w:p>
            <w:pPr>
              <w:rPr>
                <w:rFonts w:ascii="宋体" w:hAnsi="宋体" w:cs="宋体"/>
              </w:rPr>
            </w:pPr>
            <w:r>
              <w:rPr>
                <w:rFonts w:hint="eastAsia" w:ascii="宋体" w:hAnsi="宋体" w:cs="宋体"/>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6</w:t>
            </w:r>
          </w:p>
        </w:tc>
        <w:tc>
          <w:tcPr>
            <w:tcW w:w="7988" w:type="dxa"/>
            <w:vAlign w:val="center"/>
          </w:tcPr>
          <w:p>
            <w:pPr>
              <w:rPr>
                <w:rFonts w:ascii="宋体" w:hAnsi="宋体" w:cs="宋体"/>
              </w:rPr>
            </w:pPr>
            <w:r>
              <w:rPr>
                <w:rFonts w:hint="eastAsia" w:ascii="宋体" w:hAnsi="宋体" w:cs="宋体"/>
                <w:b/>
              </w:rPr>
              <w:t>投标文件载明的交货期超过招标文件规定的期限</w:t>
            </w:r>
            <w:r>
              <w:rPr>
                <w:rFonts w:hint="eastAsia" w:ascii="宋体" w:hAnsi="宋体" w:cs="宋体"/>
                <w:b/>
                <w:color w:val="FF0000"/>
              </w:rPr>
              <w:t>或</w:t>
            </w:r>
            <w:r>
              <w:rPr>
                <w:rFonts w:hint="eastAsia" w:ascii="宋体" w:hAnsi="宋体" w:cs="宋体"/>
                <w:b/>
              </w:rPr>
              <w:t>免费保修期低于招标文件规定的期限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7</w:t>
            </w:r>
          </w:p>
        </w:tc>
        <w:tc>
          <w:tcPr>
            <w:tcW w:w="7988" w:type="dxa"/>
            <w:vAlign w:val="center"/>
          </w:tcPr>
          <w:p>
            <w:pPr>
              <w:rPr>
                <w:rFonts w:ascii="宋体" w:hAnsi="宋体" w:cs="宋体"/>
              </w:rPr>
            </w:pPr>
            <w:r>
              <w:rPr>
                <w:rFonts w:hint="eastAsia" w:ascii="宋体" w:hAnsi="宋体" w:cs="宋体"/>
              </w:rPr>
              <w:t>所投产品、工程、服务在质量、技术、方案等方面没有实质性满足招标文件要求</w:t>
            </w:r>
          </w:p>
        </w:tc>
      </w:tr>
    </w:tbl>
    <w:p>
      <w:pPr>
        <w:pStyle w:val="6"/>
        <w:rPr>
          <w:rFonts w:cs="宋体"/>
          <w:szCs w:val="28"/>
        </w:rPr>
      </w:pPr>
      <w:r>
        <w:rPr>
          <w:rFonts w:hint="eastAsia" w:cs="宋体"/>
          <w:szCs w:val="28"/>
        </w:rPr>
        <w:t>评标信息</w:t>
      </w:r>
    </w:p>
    <w:p>
      <w:pPr>
        <w:spacing w:line="400" w:lineRule="exact"/>
        <w:ind w:left="1050" w:hanging="1050" w:hangingChars="500"/>
        <w:rPr>
          <w:rFonts w:ascii="宋体" w:hAnsi="宋体" w:cs="宋体"/>
          <w:szCs w:val="21"/>
        </w:rPr>
      </w:pPr>
      <w:r>
        <w:rPr>
          <w:rFonts w:hint="eastAsia" w:ascii="宋体" w:hAnsi="宋体" w:cs="宋体"/>
          <w:szCs w:val="21"/>
        </w:rPr>
        <w:t>评审方法：本项目评审方法采用</w:t>
      </w:r>
      <w:r>
        <w:rPr>
          <w:rFonts w:hint="eastAsia" w:ascii="宋体" w:hAnsi="宋体" w:cs="宋体"/>
          <w:b/>
          <w:szCs w:val="21"/>
          <w:u w:val="single"/>
        </w:rPr>
        <w:t>综合评分法</w:t>
      </w:r>
      <w:r>
        <w:rPr>
          <w:rFonts w:hint="eastAsia" w:ascii="宋体" w:hAnsi="宋体" w:cs="宋体"/>
          <w:szCs w:val="21"/>
        </w:rPr>
        <w:t>。</w:t>
      </w:r>
    </w:p>
    <w:p>
      <w:pPr>
        <w:pStyle w:val="6"/>
        <w:jc w:val="both"/>
        <w:rPr>
          <w:rFonts w:cs="宋体"/>
        </w:rPr>
      </w:pPr>
      <w:r>
        <w:rPr>
          <w:rFonts w:hint="eastAsia" w:cs="宋体"/>
        </w:rPr>
        <w:t>评标方法</w:t>
      </w:r>
    </w:p>
    <w:tbl>
      <w:tblPr>
        <w:tblStyle w:val="14"/>
        <w:tblW w:w="9078" w:type="dxa"/>
        <w:jc w:val="center"/>
        <w:tblCellSpacing w:w="0" w:type="dxa"/>
        <w:tblLayout w:type="autofit"/>
        <w:tblCellMar>
          <w:top w:w="45" w:type="dxa"/>
          <w:left w:w="45" w:type="dxa"/>
          <w:bottom w:w="45" w:type="dxa"/>
          <w:right w:w="45" w:type="dxa"/>
        </w:tblCellMar>
      </w:tblPr>
      <w:tblGrid>
        <w:gridCol w:w="8685"/>
        <w:gridCol w:w="393"/>
      </w:tblGrid>
      <w:tr>
        <w:trPr>
          <w:tblCellSpacing w:w="0" w:type="dxa"/>
          <w:jc w:val="center"/>
        </w:trPr>
        <w:tc>
          <w:tcPr>
            <w:tcW w:w="0" w:type="auto"/>
            <w:shd w:val="clear" w:color="auto" w:fill="auto"/>
            <w:vAlign w:val="center"/>
          </w:tcPr>
          <w:p>
            <w:pPr>
              <w:widowControl/>
              <w:jc w:val="left"/>
              <w:rPr>
                <w:b/>
                <w:bCs/>
                <w:sz w:val="24"/>
              </w:rPr>
            </w:pPr>
            <w:r>
              <w:rPr>
                <w:b/>
                <w:bCs/>
              </w:rPr>
              <w:t>评标方法：综合评分法</w:t>
            </w:r>
          </w:p>
        </w:tc>
        <w:tc>
          <w:tcPr>
            <w:tcW w:w="0" w:type="auto"/>
            <w:shd w:val="clear" w:color="auto" w:fill="auto"/>
            <w:vAlign w:val="center"/>
          </w:tcPr>
          <w:p>
            <w:pPr>
              <w:jc w:val="right"/>
              <w:rPr>
                <w:rFonts w:ascii="宋体"/>
                <w:b/>
                <w:bCs/>
                <w:sz w:val="24"/>
              </w:rPr>
            </w:pPr>
          </w:p>
        </w:tc>
      </w:tr>
      <w:tr>
        <w:tblPrEx>
          <w:tblCellMar>
            <w:top w:w="45" w:type="dxa"/>
            <w:left w:w="45" w:type="dxa"/>
            <w:bottom w:w="45" w:type="dxa"/>
            <w:right w:w="45" w:type="dxa"/>
          </w:tblCellMar>
        </w:tblPrEx>
        <w:trPr>
          <w:tblCellSpacing w:w="0" w:type="dxa"/>
          <w:jc w:val="center"/>
        </w:trPr>
        <w:tc>
          <w:tcPr>
            <w:tcW w:w="0" w:type="auto"/>
            <w:gridSpan w:val="2"/>
            <w:shd w:val="clear" w:color="auto" w:fill="auto"/>
            <w:vAlign w:val="center"/>
          </w:tcPr>
          <w:p>
            <w:pPr>
              <w:spacing w:line="324" w:lineRule="auto"/>
              <w:ind w:firstLine="420"/>
              <w:rPr>
                <w:szCs w:val="21"/>
              </w:rPr>
            </w:pPr>
            <w:r>
              <w:rPr>
                <w:rFonts w:hint="eastAsia"/>
                <w:szCs w:val="21"/>
              </w:rPr>
              <w:t>综合评分法。在最大限度地满足招标文件实质性要求的前提下，按照招标文件中规定的各项因素进行综合评审，评标总得分排名前列的投标人，作为推荐的候选中标供应商</w:t>
            </w:r>
            <w:r>
              <w:rPr>
                <w:szCs w:val="21"/>
              </w:rPr>
              <w:t>。</w:t>
            </w:r>
          </w:p>
          <w:p>
            <w:pPr>
              <w:ind w:firstLine="420"/>
              <w:rPr>
                <w:szCs w:val="21"/>
              </w:rPr>
            </w:pPr>
            <w:r>
              <w:rPr>
                <w:szCs w:val="21"/>
              </w:rPr>
              <w:t>价格分计算方法：</w:t>
            </w:r>
          </w:p>
          <w:p>
            <w:pPr>
              <w:pStyle w:val="13"/>
              <w:widowControl/>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p>
          <w:p>
            <w:pPr>
              <w:pStyle w:val="13"/>
              <w:widowControl/>
              <w:spacing w:line="324" w:lineRule="auto"/>
              <w:ind w:left="420"/>
              <w:rPr>
                <w:sz w:val="21"/>
                <w:szCs w:val="21"/>
              </w:rPr>
            </w:pPr>
            <w:r>
              <w:rPr>
                <w:sz w:val="21"/>
                <w:szCs w:val="21"/>
              </w:rPr>
              <w:t>投标报价得分=(评标基准价／投标报价)×100</w:t>
            </w:r>
          </w:p>
          <w:p>
            <w:pPr>
              <w:pStyle w:val="13"/>
              <w:widowControl/>
              <w:spacing w:line="324" w:lineRule="auto"/>
              <w:ind w:left="420"/>
              <w:rPr>
                <w:sz w:val="21"/>
                <w:szCs w:val="21"/>
              </w:rPr>
            </w:pPr>
            <w:r>
              <w:rPr>
                <w:sz w:val="21"/>
                <w:szCs w:val="21"/>
              </w:rPr>
              <w:t>评标总得分＝F1×A1＋F2×A2＋……＋Fn×An</w:t>
            </w:r>
          </w:p>
          <w:p>
            <w:pPr>
              <w:pStyle w:val="13"/>
              <w:widowControl/>
              <w:spacing w:line="324" w:lineRule="auto"/>
              <w:ind w:left="420"/>
              <w:rPr>
                <w:sz w:val="21"/>
                <w:szCs w:val="21"/>
              </w:rPr>
            </w:pPr>
            <w:r>
              <w:rPr>
                <w:sz w:val="21"/>
                <w:szCs w:val="21"/>
              </w:rPr>
              <w:t>F1、F2……Fn分别为各项评审因素的得分；</w:t>
            </w:r>
          </w:p>
          <w:p>
            <w:pPr>
              <w:pStyle w:val="13"/>
              <w:widowControl/>
              <w:spacing w:line="324" w:lineRule="auto"/>
              <w:ind w:left="420"/>
              <w:rPr>
                <w:sz w:val="21"/>
                <w:szCs w:val="21"/>
              </w:rPr>
            </w:pPr>
            <w:r>
              <w:rPr>
                <w:sz w:val="21"/>
                <w:szCs w:val="21"/>
              </w:rPr>
              <w:t>A1、A2、……An分别为各项评审因素所占的权重(A1＋A2＋……＋An＝1)。</w:t>
            </w:r>
          </w:p>
          <w:p>
            <w:pPr>
              <w:pStyle w:val="13"/>
              <w:widowControl/>
              <w:spacing w:line="324" w:lineRule="auto"/>
              <w:ind w:left="420"/>
              <w:rPr>
                <w:sz w:val="21"/>
                <w:szCs w:val="21"/>
              </w:rPr>
            </w:pPr>
            <w:r>
              <w:rPr>
                <w:sz w:val="21"/>
                <w:szCs w:val="21"/>
              </w:rPr>
              <w:t>评标过程中，不得去掉报价中的最高报价和最低报价。</w:t>
            </w:r>
          </w:p>
          <w:p>
            <w:pPr>
              <w:pStyle w:val="13"/>
              <w:widowControl/>
              <w:spacing w:line="324" w:lineRule="auto"/>
              <w:ind w:left="420"/>
              <w:rPr>
                <w:sz w:val="21"/>
                <w:szCs w:val="21"/>
              </w:rPr>
            </w:pPr>
            <w:r>
              <w:rPr>
                <w:sz w:val="21"/>
                <w:szCs w:val="21"/>
              </w:rPr>
              <w:t>此方法适用于货物类、服务类、工程类项目。</w:t>
            </w:r>
          </w:p>
        </w:tc>
      </w:tr>
    </w:tbl>
    <w:p/>
    <w:p>
      <w:pPr>
        <w:pStyle w:val="10"/>
      </w:pPr>
    </w:p>
    <w:tbl>
      <w:tblPr>
        <w:tblStyle w:val="14"/>
        <w:tblpPr w:leftFromText="180" w:rightFromText="180" w:vertAnchor="text" w:tblpXSpec="center" w:tblpY="1"/>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99"/>
        <w:gridCol w:w="1422"/>
        <w:gridCol w:w="11"/>
        <w:gridCol w:w="142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spacing w:line="240" w:lineRule="exact"/>
              <w:jc w:val="center"/>
              <w:rPr>
                <w:rFonts w:ascii="宋体" w:hAnsi="宋体" w:cs="宋体"/>
                <w:b/>
                <w:szCs w:val="21"/>
              </w:rPr>
            </w:pPr>
            <w:r>
              <w:rPr>
                <w:rFonts w:hint="eastAsia" w:ascii="宋体" w:hAnsi="宋体" w:cs="宋体"/>
                <w:b/>
                <w:szCs w:val="21"/>
              </w:rPr>
              <w:t>序号</w:t>
            </w:r>
          </w:p>
        </w:tc>
        <w:tc>
          <w:tcPr>
            <w:tcW w:w="3552" w:type="dxa"/>
            <w:gridSpan w:val="4"/>
            <w:vAlign w:val="center"/>
          </w:tcPr>
          <w:p>
            <w:pPr>
              <w:spacing w:line="240" w:lineRule="exact"/>
              <w:jc w:val="center"/>
              <w:rPr>
                <w:rFonts w:ascii="宋体" w:hAnsi="宋体" w:cs="宋体"/>
                <w:b/>
                <w:szCs w:val="21"/>
              </w:rPr>
            </w:pPr>
            <w:r>
              <w:rPr>
                <w:rFonts w:hint="eastAsia" w:ascii="宋体" w:hAnsi="宋体" w:cs="宋体"/>
                <w:b/>
                <w:szCs w:val="21"/>
              </w:rPr>
              <w:t>评分项</w:t>
            </w:r>
          </w:p>
        </w:tc>
        <w:tc>
          <w:tcPr>
            <w:tcW w:w="4678" w:type="dxa"/>
            <w:vAlign w:val="center"/>
          </w:tcPr>
          <w:p>
            <w:pPr>
              <w:spacing w:line="240" w:lineRule="exact"/>
              <w:jc w:val="center"/>
              <w:rPr>
                <w:rFonts w:ascii="宋体" w:hAnsi="宋体" w:cs="宋体"/>
                <w:b/>
                <w:szCs w:val="21"/>
              </w:rPr>
            </w:pPr>
            <w:r>
              <w:rPr>
                <w:rFonts w:hint="eastAsia" w:ascii="宋体" w:hAnsi="宋体" w:cs="宋体"/>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vAlign w:val="center"/>
          </w:tcPr>
          <w:p>
            <w:pPr>
              <w:spacing w:line="240" w:lineRule="exact"/>
              <w:jc w:val="center"/>
              <w:rPr>
                <w:rFonts w:ascii="宋体" w:hAnsi="宋体" w:cs="宋体"/>
                <w:b/>
                <w:szCs w:val="21"/>
              </w:rPr>
            </w:pPr>
            <w:r>
              <w:rPr>
                <w:rFonts w:hint="eastAsia" w:ascii="宋体" w:hAnsi="宋体" w:cs="宋体"/>
                <w:b/>
                <w:szCs w:val="21"/>
              </w:rPr>
              <w:t>1</w:t>
            </w:r>
          </w:p>
        </w:tc>
        <w:tc>
          <w:tcPr>
            <w:tcW w:w="3552" w:type="dxa"/>
            <w:gridSpan w:val="4"/>
            <w:vAlign w:val="center"/>
          </w:tcPr>
          <w:p>
            <w:pPr>
              <w:spacing w:line="240" w:lineRule="exact"/>
              <w:jc w:val="center"/>
              <w:rPr>
                <w:rFonts w:ascii="宋体" w:hAnsi="宋体" w:cs="宋体"/>
                <w:b/>
                <w:szCs w:val="21"/>
              </w:rPr>
            </w:pPr>
            <w:r>
              <w:rPr>
                <w:rFonts w:hint="eastAsia" w:ascii="宋体" w:hAnsi="宋体" w:cs="宋体"/>
                <w:b/>
                <w:szCs w:val="21"/>
              </w:rPr>
              <w:t>价格部分</w:t>
            </w:r>
          </w:p>
        </w:tc>
        <w:tc>
          <w:tcPr>
            <w:tcW w:w="4678" w:type="dxa"/>
            <w:vAlign w:val="center"/>
          </w:tcPr>
          <w:p>
            <w:pPr>
              <w:spacing w:line="240" w:lineRule="exact"/>
              <w:jc w:val="center"/>
              <w:rPr>
                <w:rFonts w:ascii="宋体" w:hAnsi="宋体" w:cs="宋体"/>
                <w:b/>
                <w:color w:val="FF0000"/>
                <w:szCs w:val="21"/>
              </w:rPr>
            </w:pPr>
            <w:r>
              <w:rPr>
                <w:rFonts w:hint="eastAsia" w:ascii="宋体" w:hAnsi="宋体" w:cs="宋体"/>
                <w:b/>
                <w:color w:val="FF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vAlign w:val="center"/>
          </w:tcPr>
          <w:p>
            <w:pPr>
              <w:spacing w:line="240" w:lineRule="exact"/>
              <w:jc w:val="center"/>
              <w:rPr>
                <w:rFonts w:ascii="宋体" w:hAnsi="宋体" w:cs="宋体"/>
                <w:b/>
                <w:szCs w:val="21"/>
              </w:rPr>
            </w:pPr>
            <w:r>
              <w:rPr>
                <w:rFonts w:hint="eastAsia" w:ascii="宋体" w:hAnsi="宋体" w:cs="宋体"/>
                <w:b/>
                <w:szCs w:val="21"/>
              </w:rPr>
              <w:t>2</w:t>
            </w:r>
          </w:p>
        </w:tc>
        <w:tc>
          <w:tcPr>
            <w:tcW w:w="3552" w:type="dxa"/>
            <w:gridSpan w:val="4"/>
            <w:vAlign w:val="center"/>
          </w:tcPr>
          <w:p>
            <w:pPr>
              <w:spacing w:line="240" w:lineRule="exact"/>
              <w:jc w:val="center"/>
              <w:rPr>
                <w:rFonts w:ascii="宋体" w:hAnsi="宋体" w:cs="宋体"/>
                <w:b/>
                <w:szCs w:val="21"/>
              </w:rPr>
            </w:pPr>
            <w:r>
              <w:rPr>
                <w:rFonts w:hint="eastAsia" w:ascii="宋体" w:hAnsi="宋体" w:cs="宋体"/>
                <w:b/>
                <w:szCs w:val="21"/>
              </w:rPr>
              <w:t>技术部分</w:t>
            </w:r>
          </w:p>
        </w:tc>
        <w:tc>
          <w:tcPr>
            <w:tcW w:w="4678" w:type="dxa"/>
            <w:vAlign w:val="center"/>
          </w:tcPr>
          <w:p>
            <w:pPr>
              <w:spacing w:line="240" w:lineRule="exact"/>
              <w:jc w:val="center"/>
              <w:rPr>
                <w:rFonts w:hint="eastAsia" w:ascii="宋体" w:hAnsi="宋体" w:cs="宋体"/>
                <w:b/>
                <w:color w:val="FF0000"/>
                <w:szCs w:val="21"/>
              </w:rPr>
            </w:pPr>
            <w:r>
              <w:rPr>
                <w:rFonts w:hint="eastAsia" w:ascii="宋体" w:hAnsi="宋体" w:cs="宋体"/>
                <w:b/>
                <w:color w:val="FF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Merge w:val="restart"/>
            <w:vAlign w:val="center"/>
          </w:tcPr>
          <w:p>
            <w:pPr>
              <w:jc w:val="center"/>
              <w:rPr>
                <w:rFonts w:ascii="宋体" w:hAnsi="宋体" w:cs="宋体"/>
                <w:szCs w:val="21"/>
              </w:rPr>
            </w:pPr>
          </w:p>
        </w:tc>
        <w:tc>
          <w:tcPr>
            <w:tcW w:w="699" w:type="dxa"/>
            <w:vAlign w:val="center"/>
          </w:tcPr>
          <w:p>
            <w:pPr>
              <w:jc w:val="center"/>
              <w:rPr>
                <w:rFonts w:ascii="宋体" w:hAnsi="宋体" w:cs="宋体"/>
                <w:b/>
                <w:bCs/>
                <w:szCs w:val="21"/>
              </w:rPr>
            </w:pPr>
            <w:r>
              <w:rPr>
                <w:rFonts w:hint="eastAsia" w:ascii="宋体" w:hAnsi="宋体" w:cs="宋体"/>
                <w:b/>
                <w:bCs/>
                <w:szCs w:val="21"/>
              </w:rPr>
              <w:t>序号</w:t>
            </w:r>
          </w:p>
        </w:tc>
        <w:tc>
          <w:tcPr>
            <w:tcW w:w="1433" w:type="dxa"/>
            <w:gridSpan w:val="2"/>
            <w:vAlign w:val="center"/>
          </w:tcPr>
          <w:p>
            <w:pPr>
              <w:jc w:val="center"/>
              <w:rPr>
                <w:rFonts w:ascii="宋体" w:hAnsi="宋体" w:cs="宋体"/>
                <w:b/>
                <w:bCs/>
                <w:szCs w:val="21"/>
              </w:rPr>
            </w:pPr>
            <w:r>
              <w:rPr>
                <w:rFonts w:hint="eastAsia" w:ascii="宋体" w:hAnsi="宋体" w:cs="宋体"/>
                <w:b/>
                <w:bCs/>
                <w:szCs w:val="21"/>
              </w:rPr>
              <w:t>评分因素</w:t>
            </w:r>
          </w:p>
        </w:tc>
        <w:tc>
          <w:tcPr>
            <w:tcW w:w="1420" w:type="dxa"/>
            <w:vAlign w:val="center"/>
          </w:tcPr>
          <w:p>
            <w:pPr>
              <w:jc w:val="center"/>
              <w:rPr>
                <w:rFonts w:ascii="宋体" w:hAnsi="宋体" w:cs="宋体"/>
                <w:b/>
                <w:bCs/>
                <w:szCs w:val="21"/>
              </w:rPr>
            </w:pPr>
            <w:r>
              <w:rPr>
                <w:rFonts w:hint="eastAsia" w:ascii="宋体" w:hAnsi="宋体" w:cs="宋体"/>
                <w:b/>
                <w:bCs/>
                <w:szCs w:val="21"/>
              </w:rPr>
              <w:t>权重</w:t>
            </w:r>
          </w:p>
        </w:tc>
        <w:tc>
          <w:tcPr>
            <w:tcW w:w="4678" w:type="dxa"/>
            <w:vAlign w:val="center"/>
          </w:tcPr>
          <w:p>
            <w:pPr>
              <w:jc w:val="center"/>
              <w:rPr>
                <w:rFonts w:ascii="宋体" w:hAnsi="宋体" w:cs="宋体"/>
                <w:b/>
                <w:bCs/>
                <w:szCs w:val="21"/>
              </w:rPr>
            </w:pPr>
            <w:r>
              <w:rPr>
                <w:rFonts w:hint="eastAsia" w:ascii="宋体" w:hAnsi="宋体" w:cs="宋体"/>
                <w:b/>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vMerge w:val="continue"/>
            <w:vAlign w:val="center"/>
          </w:tcPr>
          <w:p>
            <w:pPr>
              <w:keepNext/>
              <w:keepLines/>
              <w:spacing w:before="340" w:after="330"/>
              <w:jc w:val="center"/>
              <w:outlineLvl w:val="0"/>
              <w:rPr>
                <w:rFonts w:ascii="宋体" w:hAnsi="宋体" w:cs="宋体"/>
                <w:szCs w:val="21"/>
              </w:rPr>
            </w:pPr>
          </w:p>
        </w:tc>
        <w:tc>
          <w:tcPr>
            <w:tcW w:w="699" w:type="dxa"/>
            <w:vAlign w:val="center"/>
          </w:tcPr>
          <w:p>
            <w:pPr>
              <w:jc w:val="center"/>
              <w:rPr>
                <w:rFonts w:ascii="宋体" w:hAnsi="宋体" w:cs="宋体"/>
                <w:szCs w:val="21"/>
              </w:rPr>
            </w:pPr>
            <w:r>
              <w:rPr>
                <w:rFonts w:hint="eastAsia" w:ascii="宋体" w:hAnsi="宋体" w:cs="宋体"/>
                <w:szCs w:val="21"/>
              </w:rPr>
              <w:t>1</w:t>
            </w:r>
          </w:p>
        </w:tc>
        <w:tc>
          <w:tcPr>
            <w:tcW w:w="1433" w:type="dxa"/>
            <w:gridSpan w:val="2"/>
            <w:vAlign w:val="center"/>
          </w:tcPr>
          <w:p>
            <w:pPr>
              <w:jc w:val="center"/>
              <w:rPr>
                <w:rFonts w:ascii="宋体" w:hAnsi="宋体" w:cs="宋体"/>
                <w:szCs w:val="21"/>
              </w:rPr>
            </w:pPr>
            <w:r>
              <w:rPr>
                <w:rFonts w:hint="eastAsia" w:ascii="宋体" w:hAnsi="宋体" w:cs="宋体"/>
                <w:kern w:val="0"/>
                <w:szCs w:val="21"/>
              </w:rPr>
              <w:t>技术规格偏离情况</w:t>
            </w:r>
          </w:p>
        </w:tc>
        <w:tc>
          <w:tcPr>
            <w:tcW w:w="1420" w:type="dxa"/>
            <w:vAlign w:val="center"/>
          </w:tcPr>
          <w:p>
            <w:pPr>
              <w:jc w:val="center"/>
              <w:rPr>
                <w:rFonts w:ascii="宋体" w:hAnsi="宋体" w:cs="宋体"/>
                <w:szCs w:val="21"/>
              </w:rPr>
            </w:pPr>
            <w:r>
              <w:rPr>
                <w:rFonts w:hint="eastAsia" w:ascii="宋体" w:hAnsi="宋体" w:cs="宋体"/>
                <w:szCs w:val="21"/>
              </w:rPr>
              <w:t>40</w:t>
            </w:r>
          </w:p>
        </w:tc>
        <w:tc>
          <w:tcPr>
            <w:tcW w:w="4678" w:type="dxa"/>
            <w:vAlign w:val="center"/>
          </w:tcPr>
          <w:p>
            <w:pPr>
              <w:tabs>
                <w:tab w:val="left" w:pos="2869"/>
                <w:tab w:val="left" w:pos="3010"/>
              </w:tabs>
              <w:rPr>
                <w:rFonts w:ascii="宋体" w:hAnsi="宋体" w:cs="宋体"/>
                <w:b/>
                <w:szCs w:val="21"/>
              </w:rPr>
            </w:pPr>
            <w:r>
              <w:rPr>
                <w:rFonts w:hint="eastAsia" w:ascii="宋体" w:hAnsi="宋体" w:cs="宋体"/>
                <w:b/>
                <w:szCs w:val="21"/>
              </w:rPr>
              <w:t>（一）评审内容：</w:t>
            </w:r>
          </w:p>
          <w:p>
            <w:pPr>
              <w:tabs>
                <w:tab w:val="left" w:pos="2869"/>
                <w:tab w:val="left" w:pos="3010"/>
              </w:tabs>
              <w:jc w:val="left"/>
              <w:rPr>
                <w:rFonts w:ascii="宋体" w:hAnsi="宋体" w:cs="宋体"/>
                <w:szCs w:val="21"/>
              </w:rPr>
            </w:pPr>
            <w:r>
              <w:rPr>
                <w:rFonts w:hint="eastAsia" w:ascii="宋体" w:hAnsi="宋体" w:cs="宋体"/>
                <w:szCs w:val="21"/>
              </w:rPr>
              <w:t>投标人应如实填写《技术规格偏离表》，评审专家根据技术需求参数响应情况进行评审。</w:t>
            </w:r>
          </w:p>
          <w:p>
            <w:pPr>
              <w:tabs>
                <w:tab w:val="left" w:pos="2869"/>
                <w:tab w:val="left" w:pos="3010"/>
              </w:tabs>
              <w:jc w:val="left"/>
              <w:rPr>
                <w:rFonts w:ascii="宋体" w:hAnsi="宋体" w:cs="宋体"/>
                <w:b/>
                <w:szCs w:val="21"/>
              </w:rPr>
            </w:pPr>
            <w:r>
              <w:rPr>
                <w:rFonts w:hint="eastAsia" w:ascii="宋体" w:hAnsi="宋体" w:cs="宋体"/>
                <w:b/>
                <w:szCs w:val="21"/>
              </w:rPr>
              <w:t>（二）评分标准与依据：</w:t>
            </w:r>
          </w:p>
          <w:p>
            <w:pPr>
              <w:rPr>
                <w:rFonts w:ascii="宋体" w:hAnsi="宋体" w:cs="宋体"/>
                <w:szCs w:val="21"/>
              </w:rPr>
            </w:pPr>
            <w:r>
              <w:rPr>
                <w:rFonts w:hint="eastAsia" w:ascii="宋体" w:hAnsi="宋体" w:cs="宋体"/>
                <w:szCs w:val="21"/>
              </w:rPr>
              <w:t>完全满足招标文件要求的得40分，标注“▲”条款，每负偏离一项扣5分；未标注“▲”为一般条款，每负偏离一项扣1分。扣完为止。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vMerge w:val="continue"/>
            <w:vAlign w:val="center"/>
          </w:tcPr>
          <w:p>
            <w:pPr>
              <w:keepNext/>
              <w:keepLines/>
              <w:spacing w:before="340" w:after="330"/>
              <w:jc w:val="center"/>
              <w:outlineLvl w:val="0"/>
              <w:rPr>
                <w:rFonts w:ascii="宋体" w:hAnsi="宋体" w:cs="宋体"/>
                <w:szCs w:val="21"/>
              </w:rPr>
            </w:pPr>
          </w:p>
        </w:tc>
        <w:tc>
          <w:tcPr>
            <w:tcW w:w="699" w:type="dxa"/>
            <w:vAlign w:val="center"/>
          </w:tcPr>
          <w:p>
            <w:pPr>
              <w:jc w:val="center"/>
              <w:rPr>
                <w:rFonts w:ascii="宋体" w:hAnsi="宋体" w:cs="宋体"/>
                <w:szCs w:val="21"/>
              </w:rPr>
            </w:pPr>
            <w:r>
              <w:rPr>
                <w:rFonts w:hint="eastAsia" w:ascii="宋体" w:hAnsi="宋体" w:cs="宋体"/>
                <w:szCs w:val="21"/>
              </w:rPr>
              <w:t>2</w:t>
            </w:r>
          </w:p>
        </w:tc>
        <w:tc>
          <w:tcPr>
            <w:tcW w:w="1433" w:type="dxa"/>
            <w:gridSpan w:val="2"/>
            <w:vAlign w:val="center"/>
          </w:tcPr>
          <w:p>
            <w:pPr>
              <w:jc w:val="center"/>
              <w:rPr>
                <w:rFonts w:ascii="宋体" w:hAnsi="宋体" w:cs="宋体"/>
                <w:szCs w:val="21"/>
              </w:rPr>
            </w:pPr>
            <w:r>
              <w:rPr>
                <w:rFonts w:hint="eastAsia" w:ascii="宋体" w:hAnsi="宋体" w:cs="宋体"/>
                <w:szCs w:val="21"/>
              </w:rPr>
              <w:t>技术保障</w:t>
            </w:r>
          </w:p>
          <w:p>
            <w:pPr>
              <w:jc w:val="center"/>
              <w:rPr>
                <w:rFonts w:ascii="宋体" w:hAnsi="宋体" w:cs="宋体"/>
                <w:szCs w:val="21"/>
              </w:rPr>
            </w:pPr>
            <w:r>
              <w:rPr>
                <w:rFonts w:hint="eastAsia" w:ascii="宋体" w:hAnsi="宋体" w:cs="宋体"/>
                <w:szCs w:val="21"/>
              </w:rPr>
              <w:t>措施</w:t>
            </w:r>
          </w:p>
        </w:tc>
        <w:tc>
          <w:tcPr>
            <w:tcW w:w="1420" w:type="dxa"/>
            <w:vAlign w:val="center"/>
          </w:tcPr>
          <w:p>
            <w:pPr>
              <w:jc w:val="center"/>
              <w:rPr>
                <w:rFonts w:ascii="宋体" w:hAnsi="宋体" w:cs="宋体"/>
                <w:szCs w:val="21"/>
              </w:rPr>
            </w:pPr>
            <w:r>
              <w:rPr>
                <w:rFonts w:hint="eastAsia" w:ascii="宋体" w:hAnsi="宋体" w:cs="宋体"/>
                <w:szCs w:val="21"/>
              </w:rPr>
              <w:t>3</w:t>
            </w:r>
          </w:p>
        </w:tc>
        <w:tc>
          <w:tcPr>
            <w:tcW w:w="4678" w:type="dxa"/>
            <w:vAlign w:val="center"/>
          </w:tcPr>
          <w:p>
            <w:pPr>
              <w:jc w:val="left"/>
              <w:rPr>
                <w:rFonts w:ascii="宋体" w:hAnsi="宋体" w:cs="宋体"/>
                <w:szCs w:val="21"/>
              </w:rPr>
            </w:pPr>
            <w:r>
              <w:rPr>
                <w:rFonts w:hint="eastAsia" w:ascii="宋体" w:hAnsi="宋体" w:cs="宋体"/>
                <w:szCs w:val="21"/>
              </w:rPr>
              <w:t>针对本项目的需求内容，投标人需充分说明技术保障措施，包括</w:t>
            </w:r>
            <w:r>
              <w:rPr>
                <w:rFonts w:ascii="宋体" w:hAnsi="宋体"/>
                <w:szCs w:val="21"/>
              </w:rPr>
              <w:t>包括技术团队、技术方案、技术人员</w:t>
            </w:r>
            <w:r>
              <w:rPr>
                <w:rFonts w:hint="eastAsia" w:ascii="宋体" w:hAnsi="宋体" w:cs="宋体"/>
                <w:szCs w:val="21"/>
              </w:rPr>
              <w:t>等保障措施。技术保障措施中必须包含以上内容，否则不得分。</w:t>
            </w:r>
          </w:p>
          <w:p>
            <w:pPr>
              <w:jc w:val="left"/>
              <w:rPr>
                <w:rFonts w:ascii="宋体" w:hAnsi="宋体" w:cs="宋体"/>
                <w:szCs w:val="21"/>
              </w:rPr>
            </w:pPr>
            <w:r>
              <w:rPr>
                <w:rFonts w:hint="eastAsia" w:ascii="宋体" w:hAnsi="宋体" w:cs="宋体"/>
                <w:szCs w:val="21"/>
              </w:rPr>
              <w:t>评审委员会根据响应情况进行比较：</w:t>
            </w:r>
          </w:p>
          <w:p>
            <w:pPr>
              <w:jc w:val="left"/>
              <w:rPr>
                <w:rFonts w:ascii="宋体" w:hAnsi="宋体" w:cs="宋体"/>
                <w:szCs w:val="21"/>
              </w:rPr>
            </w:pPr>
            <w:r>
              <w:rPr>
                <w:rFonts w:hint="eastAsia" w:ascii="宋体" w:hAnsi="宋体" w:cs="宋体"/>
                <w:szCs w:val="21"/>
              </w:rPr>
              <w:t>优良中差评分标准：</w:t>
            </w:r>
          </w:p>
          <w:p>
            <w:pPr>
              <w:jc w:val="left"/>
              <w:rPr>
                <w:rFonts w:ascii="宋体" w:hAnsi="宋体" w:cs="宋体"/>
                <w:szCs w:val="21"/>
              </w:rPr>
            </w:pPr>
            <w:r>
              <w:rPr>
                <w:rFonts w:hint="eastAsia" w:ascii="宋体" w:hAnsi="宋体" w:cs="宋体"/>
                <w:szCs w:val="21"/>
              </w:rPr>
              <w:t>（1）投标文件响应内容全面；</w:t>
            </w:r>
          </w:p>
          <w:p>
            <w:pPr>
              <w:jc w:val="left"/>
              <w:rPr>
                <w:rFonts w:ascii="宋体" w:hAnsi="宋体" w:cs="宋体"/>
                <w:szCs w:val="21"/>
              </w:rPr>
            </w:pPr>
            <w:r>
              <w:rPr>
                <w:rFonts w:hint="eastAsia" w:ascii="宋体" w:hAnsi="宋体" w:cs="宋体"/>
                <w:szCs w:val="21"/>
              </w:rPr>
              <w:t>（2）投标文件响应内容具体；</w:t>
            </w:r>
          </w:p>
          <w:p>
            <w:pPr>
              <w:jc w:val="left"/>
              <w:rPr>
                <w:rFonts w:ascii="宋体" w:hAnsi="宋体" w:cs="宋体"/>
                <w:szCs w:val="21"/>
              </w:rPr>
            </w:pPr>
            <w:r>
              <w:rPr>
                <w:rFonts w:hint="eastAsia" w:ascii="宋体" w:hAnsi="宋体" w:cs="宋体"/>
                <w:szCs w:val="21"/>
              </w:rPr>
              <w:t>（3）投标文件响应内容针对性强；</w:t>
            </w:r>
          </w:p>
          <w:p>
            <w:pPr>
              <w:jc w:val="left"/>
              <w:rPr>
                <w:rFonts w:ascii="宋体" w:hAnsi="宋体" w:cs="宋体"/>
                <w:szCs w:val="21"/>
              </w:rPr>
            </w:pPr>
            <w:r>
              <w:rPr>
                <w:rFonts w:hint="eastAsia" w:ascii="宋体" w:hAnsi="宋体" w:cs="宋体"/>
                <w:szCs w:val="21"/>
              </w:rPr>
              <w:t>（4）投标文件响应内容科学合理；</w:t>
            </w:r>
          </w:p>
          <w:p>
            <w:pPr>
              <w:jc w:val="left"/>
              <w:rPr>
                <w:rFonts w:ascii="宋体" w:hAnsi="宋体" w:cs="宋体"/>
                <w:szCs w:val="21"/>
              </w:rPr>
            </w:pPr>
            <w:r>
              <w:rPr>
                <w:rFonts w:hint="eastAsia" w:ascii="宋体" w:hAnsi="宋体" w:cs="宋体"/>
                <w:szCs w:val="21"/>
              </w:rPr>
              <w:t>（5）投标文件响应内容可操作性强。</w:t>
            </w:r>
          </w:p>
          <w:p>
            <w:pPr>
              <w:jc w:val="left"/>
              <w:rPr>
                <w:rFonts w:ascii="宋体" w:hAnsi="宋体" w:cs="宋体"/>
                <w:szCs w:val="21"/>
              </w:rPr>
            </w:pPr>
            <w:r>
              <w:rPr>
                <w:rFonts w:hint="eastAsia" w:ascii="宋体" w:hAnsi="宋体" w:cs="宋体"/>
                <w:szCs w:val="21"/>
              </w:rPr>
              <w:t>满足以上五项要求的评价为优，得3分。</w:t>
            </w:r>
          </w:p>
          <w:p>
            <w:pPr>
              <w:jc w:val="left"/>
              <w:rPr>
                <w:rFonts w:ascii="宋体" w:hAnsi="宋体" w:cs="宋体"/>
                <w:szCs w:val="21"/>
              </w:rPr>
            </w:pPr>
            <w:r>
              <w:rPr>
                <w:rFonts w:hint="eastAsia" w:ascii="宋体" w:hAnsi="宋体" w:cs="宋体"/>
                <w:szCs w:val="21"/>
              </w:rPr>
              <w:t>满足以上四项要求的评价为良，得2分。</w:t>
            </w:r>
          </w:p>
          <w:p>
            <w:pPr>
              <w:jc w:val="left"/>
              <w:rPr>
                <w:rFonts w:ascii="宋体" w:hAnsi="宋体" w:cs="宋体"/>
                <w:szCs w:val="21"/>
              </w:rPr>
            </w:pPr>
            <w:r>
              <w:rPr>
                <w:rFonts w:hint="eastAsia" w:ascii="宋体" w:hAnsi="宋体" w:cs="宋体"/>
                <w:szCs w:val="21"/>
              </w:rPr>
              <w:t>满足以上三项要求的评价为中，得1分。</w:t>
            </w:r>
          </w:p>
          <w:p>
            <w:pPr>
              <w:rPr>
                <w:rFonts w:ascii="宋体" w:hAnsi="宋体" w:cs="宋体"/>
                <w:szCs w:val="21"/>
              </w:rPr>
            </w:pPr>
            <w:r>
              <w:rPr>
                <w:rFonts w:hint="eastAsia" w:ascii="宋体" w:hAnsi="宋体" w:cs="宋体"/>
                <w:szCs w:val="21"/>
              </w:rPr>
              <w:t>其它情况的评价为差，不得分。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vAlign w:val="center"/>
          </w:tcPr>
          <w:p>
            <w:pPr>
              <w:keepNext/>
              <w:keepLines/>
              <w:spacing w:before="340" w:after="330"/>
              <w:jc w:val="center"/>
              <w:outlineLvl w:val="0"/>
              <w:rPr>
                <w:rFonts w:ascii="宋体" w:hAnsi="宋体" w:cs="宋体"/>
                <w:szCs w:val="21"/>
              </w:rPr>
            </w:pPr>
          </w:p>
        </w:tc>
        <w:tc>
          <w:tcPr>
            <w:tcW w:w="699" w:type="dxa"/>
            <w:vAlign w:val="center"/>
          </w:tcPr>
          <w:p>
            <w:pPr>
              <w:jc w:val="center"/>
              <w:rPr>
                <w:rFonts w:hint="eastAsia" w:ascii="宋体" w:hAnsi="宋体" w:cs="宋体"/>
                <w:szCs w:val="21"/>
              </w:rPr>
            </w:pPr>
            <w:r>
              <w:rPr>
                <w:rFonts w:hint="eastAsia" w:ascii="宋体" w:hAnsi="宋体" w:cs="宋体"/>
                <w:szCs w:val="21"/>
              </w:rPr>
              <w:t>3</w:t>
            </w:r>
          </w:p>
        </w:tc>
        <w:tc>
          <w:tcPr>
            <w:tcW w:w="1433" w:type="dxa"/>
            <w:gridSpan w:val="2"/>
            <w:vAlign w:val="center"/>
          </w:tcPr>
          <w:p>
            <w:pPr>
              <w:jc w:val="center"/>
              <w:rPr>
                <w:rFonts w:ascii="宋体" w:hAnsi="宋体" w:cs="宋体"/>
                <w:szCs w:val="21"/>
              </w:rPr>
            </w:pPr>
            <w:r>
              <w:rPr>
                <w:rFonts w:hint="eastAsia" w:ascii="宋体" w:hAnsi="宋体" w:cs="宋体"/>
                <w:szCs w:val="21"/>
              </w:rPr>
              <w:t>系统兼容</w:t>
            </w:r>
          </w:p>
          <w:p>
            <w:pPr>
              <w:jc w:val="center"/>
              <w:rPr>
                <w:rFonts w:hint="eastAsia" w:ascii="宋体" w:hAnsi="宋体" w:cs="宋体"/>
                <w:szCs w:val="21"/>
              </w:rPr>
            </w:pPr>
            <w:r>
              <w:rPr>
                <w:rFonts w:hint="eastAsia" w:ascii="宋体" w:hAnsi="宋体" w:cs="宋体"/>
                <w:szCs w:val="21"/>
              </w:rPr>
              <w:t>方案</w:t>
            </w:r>
          </w:p>
        </w:tc>
        <w:tc>
          <w:tcPr>
            <w:tcW w:w="1420" w:type="dxa"/>
            <w:vAlign w:val="center"/>
          </w:tcPr>
          <w:p>
            <w:pPr>
              <w:jc w:val="center"/>
              <w:rPr>
                <w:rFonts w:hint="eastAsia" w:ascii="宋体" w:hAnsi="宋体" w:cs="宋体"/>
                <w:szCs w:val="21"/>
              </w:rPr>
            </w:pPr>
            <w:r>
              <w:rPr>
                <w:rFonts w:hint="eastAsia" w:ascii="宋体" w:hAnsi="宋体" w:cs="宋体"/>
                <w:szCs w:val="21"/>
              </w:rPr>
              <w:t>7</w:t>
            </w:r>
          </w:p>
        </w:tc>
        <w:tc>
          <w:tcPr>
            <w:tcW w:w="4678"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投标人提出对现有一卡通硬件的兼容实现方案，应包括：</w:t>
            </w:r>
          </w:p>
          <w:p>
            <w:pPr>
              <w:pStyle w:val="25"/>
              <w:numPr>
                <w:ilvl w:val="0"/>
                <w:numId w:val="1"/>
              </w:numPr>
              <w:ind w:left="587" w:hanging="567"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对现有硬件的兼容；</w:t>
            </w:r>
          </w:p>
          <w:p>
            <w:pPr>
              <w:pStyle w:val="2"/>
              <w:rPr>
                <w:rFonts w:hint="eastAsia"/>
              </w:rPr>
            </w:pPr>
            <w:r>
              <w:rPr>
                <w:rFonts w:hint="eastAsia"/>
              </w:rPr>
              <w:t>（</w:t>
            </w:r>
            <w:r>
              <w:rPr>
                <w:rFonts w:hint="eastAsia" w:asciiTheme="minorEastAsia" w:hAnsiTheme="minorEastAsia" w:eastAsiaTheme="minorEastAsia" w:cstheme="minorEastAsia"/>
                <w:color w:val="auto"/>
                <w:kern w:val="2"/>
                <w:sz w:val="21"/>
                <w:szCs w:val="21"/>
              </w:rPr>
              <w:t>2）对已发出教师、学生卡片不回收、不重发直接使用；</w:t>
            </w:r>
          </w:p>
          <w:p>
            <w:pPr>
              <w:rPr>
                <w:rFonts w:hint="eastAsia"/>
              </w:rPr>
            </w:pPr>
            <w:r>
              <w:rPr>
                <w:rFonts w:hint="eastAsia" w:asciiTheme="minorEastAsia" w:hAnsiTheme="minorEastAsia" w:eastAsiaTheme="minorEastAsia" w:cstheme="minorEastAsia"/>
                <w:szCs w:val="21"/>
              </w:rPr>
              <w:t>由评审委员会进行打分：</w:t>
            </w:r>
          </w:p>
          <w:p>
            <w:pPr>
              <w:numPr>
                <w:ilvl w:val="0"/>
                <w:numId w:val="2"/>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需求理解清晰、相应解决方案可实施性强的，得7分；</w:t>
            </w:r>
          </w:p>
          <w:p>
            <w:pPr>
              <w:numPr>
                <w:ilvl w:val="0"/>
                <w:numId w:val="2"/>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需求理解较清晰、相应解决方案可实施性较强的，得4分；</w:t>
            </w:r>
          </w:p>
          <w:p>
            <w:pPr>
              <w:numPr>
                <w:ilvl w:val="0"/>
                <w:numId w:val="2"/>
              </w:num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需求理解基本清晰、相应解决方案有基本的可实施性的，得2分。</w:t>
            </w:r>
          </w:p>
          <w:p>
            <w:pPr>
              <w:pStyle w:val="25"/>
              <w:numPr>
                <w:ilvl w:val="0"/>
                <w:numId w:val="2"/>
              </w:numPr>
              <w:ind w:firstLine="20" w:firstLineChars="0"/>
              <w:jc w:val="left"/>
              <w:rPr>
                <w:rFonts w:hint="eastAsia" w:ascii="宋体" w:hAnsi="宋体" w:cs="宋体"/>
                <w:szCs w:val="21"/>
              </w:rPr>
            </w:pPr>
            <w:r>
              <w:rPr>
                <w:rFonts w:hint="eastAsia" w:asciiTheme="minorEastAsia" w:hAnsiTheme="minorEastAsia" w:eastAsiaTheme="minorEastAsia" w:cstheme="minorEastAsia"/>
                <w:kern w:val="0"/>
                <w:szCs w:val="21"/>
              </w:rPr>
              <w:t>未提供对需求得理解及解决方案的不得分。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9" w:type="dxa"/>
            <w:vAlign w:val="center"/>
          </w:tcPr>
          <w:p>
            <w:pPr>
              <w:jc w:val="center"/>
              <w:rPr>
                <w:rFonts w:ascii="宋体" w:hAnsi="宋体" w:cs="宋体"/>
                <w:b/>
                <w:szCs w:val="21"/>
              </w:rPr>
            </w:pPr>
            <w:r>
              <w:rPr>
                <w:rFonts w:hint="eastAsia" w:ascii="宋体" w:hAnsi="宋体" w:cs="宋体"/>
                <w:b/>
                <w:szCs w:val="21"/>
              </w:rPr>
              <w:t>3</w:t>
            </w:r>
          </w:p>
        </w:tc>
        <w:tc>
          <w:tcPr>
            <w:tcW w:w="3552" w:type="dxa"/>
            <w:gridSpan w:val="4"/>
            <w:vAlign w:val="center"/>
          </w:tcPr>
          <w:p>
            <w:pPr>
              <w:jc w:val="center"/>
              <w:rPr>
                <w:rFonts w:ascii="宋体" w:hAnsi="宋体" w:cs="宋体"/>
                <w:b/>
                <w:szCs w:val="21"/>
              </w:rPr>
            </w:pPr>
            <w:r>
              <w:rPr>
                <w:rFonts w:hint="eastAsia" w:ascii="宋体" w:hAnsi="宋体" w:cs="宋体"/>
                <w:b/>
                <w:szCs w:val="21"/>
              </w:rPr>
              <w:t>商务需求</w:t>
            </w:r>
          </w:p>
        </w:tc>
        <w:tc>
          <w:tcPr>
            <w:tcW w:w="4678" w:type="dxa"/>
            <w:vAlign w:val="center"/>
          </w:tcPr>
          <w:p>
            <w:pPr>
              <w:jc w:val="center"/>
              <w:rPr>
                <w:rFonts w:ascii="宋体" w:hAnsi="宋体" w:cs="宋体"/>
                <w:b/>
                <w:color w:val="FF0000"/>
                <w:szCs w:val="21"/>
              </w:rPr>
            </w:pPr>
            <w:r>
              <w:rPr>
                <w:rFonts w:hint="eastAsia" w:ascii="宋体" w:hAnsi="宋体" w:cs="宋体"/>
                <w:b/>
                <w:color w:val="FF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Merge w:val="restart"/>
            <w:vAlign w:val="center"/>
          </w:tcPr>
          <w:p>
            <w:pPr>
              <w:keepNext/>
              <w:keepLines/>
              <w:spacing w:before="340" w:after="330"/>
              <w:jc w:val="center"/>
              <w:outlineLvl w:val="0"/>
              <w:rPr>
                <w:rFonts w:ascii="宋体" w:hAnsi="宋体" w:cs="宋体"/>
                <w:b/>
                <w:szCs w:val="21"/>
              </w:rPr>
            </w:pPr>
          </w:p>
        </w:tc>
        <w:tc>
          <w:tcPr>
            <w:tcW w:w="699" w:type="dxa"/>
            <w:vAlign w:val="center"/>
          </w:tcPr>
          <w:p>
            <w:pPr>
              <w:jc w:val="center"/>
              <w:rPr>
                <w:rFonts w:ascii="宋体" w:hAnsi="宋体" w:cs="宋体"/>
                <w:b/>
                <w:szCs w:val="21"/>
              </w:rPr>
            </w:pPr>
            <w:r>
              <w:rPr>
                <w:rFonts w:hint="eastAsia" w:ascii="宋体" w:hAnsi="宋体" w:cs="宋体"/>
                <w:b/>
                <w:szCs w:val="21"/>
              </w:rPr>
              <w:t>序号</w:t>
            </w:r>
          </w:p>
        </w:tc>
        <w:tc>
          <w:tcPr>
            <w:tcW w:w="1422" w:type="dxa"/>
            <w:vAlign w:val="center"/>
          </w:tcPr>
          <w:p>
            <w:pPr>
              <w:jc w:val="center"/>
              <w:rPr>
                <w:rFonts w:ascii="宋体" w:hAnsi="宋体" w:cs="宋体"/>
                <w:b/>
                <w:szCs w:val="21"/>
              </w:rPr>
            </w:pPr>
            <w:r>
              <w:rPr>
                <w:rFonts w:hint="eastAsia" w:ascii="宋体" w:hAnsi="宋体" w:cs="宋体"/>
                <w:b/>
                <w:szCs w:val="21"/>
              </w:rPr>
              <w:t>评分因素</w:t>
            </w:r>
          </w:p>
        </w:tc>
        <w:tc>
          <w:tcPr>
            <w:tcW w:w="1431" w:type="dxa"/>
            <w:gridSpan w:val="2"/>
            <w:vAlign w:val="center"/>
          </w:tcPr>
          <w:p>
            <w:pPr>
              <w:jc w:val="center"/>
              <w:rPr>
                <w:rFonts w:ascii="宋体" w:hAnsi="宋体" w:cs="宋体"/>
                <w:b/>
                <w:szCs w:val="21"/>
              </w:rPr>
            </w:pPr>
            <w:r>
              <w:rPr>
                <w:rFonts w:hint="eastAsia" w:ascii="宋体" w:hAnsi="宋体" w:cs="宋体"/>
                <w:b/>
                <w:szCs w:val="21"/>
              </w:rPr>
              <w:t>权重</w:t>
            </w:r>
          </w:p>
        </w:tc>
        <w:tc>
          <w:tcPr>
            <w:tcW w:w="4678" w:type="dxa"/>
            <w:vAlign w:val="center"/>
          </w:tcPr>
          <w:p>
            <w:pPr>
              <w:jc w:val="center"/>
              <w:rPr>
                <w:rFonts w:ascii="宋体" w:hAnsi="宋体" w:cs="宋体"/>
                <w:b/>
                <w:szCs w:val="21"/>
              </w:rPr>
            </w:pPr>
            <w:r>
              <w:rPr>
                <w:rFonts w:hint="eastAsia" w:ascii="宋体" w:hAnsi="宋体" w:cs="宋体"/>
                <w:b/>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Merge w:val="continue"/>
            <w:vAlign w:val="center"/>
          </w:tcPr>
          <w:p>
            <w:pPr>
              <w:keepNext/>
              <w:keepLines/>
              <w:spacing w:before="340" w:after="330"/>
              <w:jc w:val="center"/>
              <w:outlineLvl w:val="0"/>
              <w:rPr>
                <w:rFonts w:ascii="宋体" w:hAnsi="宋体" w:cs="宋体"/>
                <w:szCs w:val="21"/>
              </w:rPr>
            </w:pPr>
          </w:p>
        </w:tc>
        <w:tc>
          <w:tcPr>
            <w:tcW w:w="699" w:type="dxa"/>
            <w:vAlign w:val="center"/>
          </w:tcPr>
          <w:p>
            <w:pPr>
              <w:jc w:val="center"/>
              <w:rPr>
                <w:rFonts w:ascii="宋体" w:hAnsi="宋体" w:cs="宋体"/>
                <w:szCs w:val="21"/>
              </w:rPr>
            </w:pPr>
            <w:r>
              <w:rPr>
                <w:rFonts w:hint="eastAsia" w:ascii="宋体" w:hAnsi="宋体" w:cs="宋体"/>
                <w:szCs w:val="21"/>
              </w:rPr>
              <w:cr/>
            </w:r>
            <w:r>
              <w:rPr>
                <w:rFonts w:hint="eastAsia" w:ascii="宋体" w:hAnsi="宋体" w:cs="宋体"/>
                <w:szCs w:val="21"/>
              </w:rPr>
              <w:t>1</w:t>
            </w:r>
          </w:p>
        </w:tc>
        <w:tc>
          <w:tcPr>
            <w:tcW w:w="1422" w:type="dxa"/>
            <w:vAlign w:val="center"/>
          </w:tcPr>
          <w:p>
            <w:pPr>
              <w:jc w:val="center"/>
              <w:rPr>
                <w:rFonts w:ascii="宋体" w:hAnsi="宋体" w:cs="宋体"/>
                <w:szCs w:val="21"/>
              </w:rPr>
            </w:pPr>
            <w:r>
              <w:rPr>
                <w:rFonts w:hint="eastAsia" w:ascii="宋体" w:hAnsi="宋体" w:cs="宋体"/>
                <w:szCs w:val="21"/>
              </w:rPr>
              <w:t>商务条款</w:t>
            </w:r>
          </w:p>
          <w:p>
            <w:pPr>
              <w:jc w:val="center"/>
              <w:rPr>
                <w:rFonts w:ascii="宋体" w:hAnsi="宋体" w:cs="宋体"/>
                <w:szCs w:val="21"/>
              </w:rPr>
            </w:pPr>
            <w:r>
              <w:rPr>
                <w:rFonts w:hint="eastAsia" w:ascii="宋体" w:hAnsi="宋体" w:cs="宋体"/>
                <w:szCs w:val="21"/>
              </w:rPr>
              <w:t>偏离情况</w:t>
            </w:r>
          </w:p>
        </w:tc>
        <w:tc>
          <w:tcPr>
            <w:tcW w:w="1431" w:type="dxa"/>
            <w:gridSpan w:val="2"/>
            <w:vAlign w:val="center"/>
          </w:tcPr>
          <w:p>
            <w:pPr>
              <w:jc w:val="center"/>
              <w:rPr>
                <w:rFonts w:ascii="宋体" w:hAnsi="宋体" w:cs="宋体"/>
                <w:szCs w:val="21"/>
              </w:rPr>
            </w:pPr>
            <w:r>
              <w:rPr>
                <w:rFonts w:hint="eastAsia" w:ascii="宋体" w:hAnsi="宋体" w:cs="宋体"/>
                <w:szCs w:val="21"/>
              </w:rPr>
              <w:t>9</w:t>
            </w:r>
          </w:p>
        </w:tc>
        <w:tc>
          <w:tcPr>
            <w:tcW w:w="4678" w:type="dxa"/>
            <w:vAlign w:val="center"/>
          </w:tcPr>
          <w:p>
            <w:pPr>
              <w:rPr>
                <w:rFonts w:ascii="宋体" w:hAnsi="宋体" w:cs="宋体"/>
                <w:szCs w:val="21"/>
              </w:rPr>
            </w:pPr>
            <w:r>
              <w:rPr>
                <w:rFonts w:hint="eastAsia" w:ascii="宋体" w:hAnsi="宋体" w:cs="宋体"/>
                <w:szCs w:val="21"/>
              </w:rPr>
              <w:t>投标人应如实填写《商务条款偏离表》，完全满足招标文件要求的得9分，每负偏离一项扣1分。扣完为止。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709" w:type="dxa"/>
            <w:vMerge w:val="continue"/>
            <w:vAlign w:val="center"/>
          </w:tcPr>
          <w:p>
            <w:pPr>
              <w:keepNext/>
              <w:keepLines/>
              <w:spacing w:before="340" w:after="330"/>
              <w:jc w:val="center"/>
              <w:outlineLvl w:val="0"/>
              <w:rPr>
                <w:rFonts w:ascii="宋体" w:hAnsi="宋体" w:cs="宋体"/>
                <w:szCs w:val="21"/>
              </w:rPr>
            </w:pPr>
          </w:p>
        </w:tc>
        <w:tc>
          <w:tcPr>
            <w:tcW w:w="699" w:type="dxa"/>
            <w:vAlign w:val="center"/>
          </w:tcPr>
          <w:p>
            <w:pPr>
              <w:jc w:val="center"/>
              <w:rPr>
                <w:rFonts w:ascii="宋体" w:hAnsi="宋体" w:cs="宋体"/>
                <w:szCs w:val="21"/>
              </w:rPr>
            </w:pPr>
            <w:r>
              <w:rPr>
                <w:rFonts w:hint="eastAsia" w:ascii="宋体" w:hAnsi="宋体" w:cs="宋体"/>
                <w:szCs w:val="21"/>
              </w:rPr>
              <w:t>2</w:t>
            </w:r>
          </w:p>
        </w:tc>
        <w:tc>
          <w:tcPr>
            <w:tcW w:w="1422" w:type="dxa"/>
            <w:vAlign w:val="center"/>
          </w:tcPr>
          <w:p>
            <w:pPr>
              <w:jc w:val="center"/>
              <w:rPr>
                <w:rFonts w:ascii="宋体" w:hAnsi="宋体" w:cs="宋体"/>
                <w:szCs w:val="21"/>
              </w:rPr>
            </w:pPr>
            <w:r>
              <w:rPr>
                <w:rFonts w:hint="eastAsia" w:ascii="宋体" w:hAnsi="宋体" w:cs="宋体"/>
                <w:szCs w:val="21"/>
              </w:rPr>
              <w:t>投标人集成能力</w:t>
            </w:r>
          </w:p>
        </w:tc>
        <w:tc>
          <w:tcPr>
            <w:tcW w:w="1431" w:type="dxa"/>
            <w:gridSpan w:val="2"/>
            <w:vAlign w:val="center"/>
          </w:tcPr>
          <w:p>
            <w:pPr>
              <w:jc w:val="center"/>
              <w:rPr>
                <w:rFonts w:ascii="宋体" w:hAnsi="宋体" w:cs="宋体"/>
                <w:szCs w:val="21"/>
              </w:rPr>
            </w:pPr>
            <w:r>
              <w:rPr>
                <w:rFonts w:hint="eastAsia" w:ascii="宋体" w:hAnsi="宋体" w:cs="宋体"/>
                <w:szCs w:val="21"/>
              </w:rPr>
              <w:t>3</w:t>
            </w:r>
          </w:p>
        </w:tc>
        <w:tc>
          <w:tcPr>
            <w:tcW w:w="4678" w:type="dxa"/>
          </w:tcPr>
          <w:p>
            <w:pPr>
              <w:ind w:right="31" w:rightChars="15"/>
              <w:jc w:val="left"/>
              <w:rPr>
                <w:rFonts w:ascii="宋体" w:hAnsi="宋体" w:cs="宋体"/>
                <w:color w:val="000000"/>
                <w:szCs w:val="21"/>
              </w:rPr>
            </w:pPr>
            <w:r>
              <w:rPr>
                <w:rFonts w:hint="eastAsia" w:ascii="宋体" w:hAnsi="宋体" w:cs="宋体"/>
                <w:szCs w:val="21"/>
              </w:rPr>
              <w:t>投标人提供校园一卡通相关软件著作权证书，每提供一项得1分，最高不超过3分。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709" w:type="dxa"/>
            <w:vMerge w:val="continue"/>
            <w:vAlign w:val="center"/>
          </w:tcPr>
          <w:p>
            <w:pPr>
              <w:keepNext/>
              <w:keepLines/>
              <w:spacing w:before="260" w:after="260"/>
              <w:jc w:val="center"/>
              <w:outlineLvl w:val="2"/>
              <w:rPr>
                <w:rFonts w:ascii="宋体" w:hAnsi="宋体" w:cs="宋体"/>
                <w:szCs w:val="21"/>
              </w:rPr>
            </w:pPr>
          </w:p>
        </w:tc>
        <w:tc>
          <w:tcPr>
            <w:tcW w:w="699" w:type="dxa"/>
            <w:vAlign w:val="center"/>
          </w:tcPr>
          <w:p>
            <w:pPr>
              <w:jc w:val="center"/>
              <w:rPr>
                <w:rFonts w:ascii="宋体" w:hAnsi="宋体" w:cs="宋体"/>
                <w:szCs w:val="21"/>
              </w:rPr>
            </w:pPr>
            <w:r>
              <w:rPr>
                <w:rFonts w:hint="eastAsia" w:ascii="宋体" w:hAnsi="宋体" w:cs="宋体"/>
                <w:szCs w:val="21"/>
              </w:rPr>
              <w:t>4</w:t>
            </w:r>
          </w:p>
        </w:tc>
        <w:tc>
          <w:tcPr>
            <w:tcW w:w="1422" w:type="dxa"/>
            <w:vAlign w:val="center"/>
          </w:tcPr>
          <w:p>
            <w:pPr>
              <w:jc w:val="center"/>
              <w:rPr>
                <w:rFonts w:ascii="宋体" w:hAnsi="宋体" w:cs="宋体"/>
                <w:szCs w:val="21"/>
              </w:rPr>
            </w:pPr>
            <w:r>
              <w:rPr>
                <w:rFonts w:hint="eastAsia" w:ascii="宋体" w:hAnsi="宋体" w:cs="宋体"/>
                <w:szCs w:val="21"/>
              </w:rPr>
              <w:t>投标人同类业绩</w:t>
            </w:r>
          </w:p>
        </w:tc>
        <w:tc>
          <w:tcPr>
            <w:tcW w:w="1431" w:type="dxa"/>
            <w:gridSpan w:val="2"/>
            <w:vAlign w:val="center"/>
          </w:tcPr>
          <w:p>
            <w:pPr>
              <w:spacing w:line="240" w:lineRule="exact"/>
              <w:jc w:val="center"/>
              <w:rPr>
                <w:rFonts w:ascii="宋体" w:hAnsi="宋体" w:cs="宋体"/>
                <w:szCs w:val="21"/>
              </w:rPr>
            </w:pPr>
            <w:r>
              <w:rPr>
                <w:rFonts w:hint="eastAsia" w:ascii="宋体" w:hAnsi="宋体" w:cs="宋体"/>
                <w:szCs w:val="21"/>
              </w:rPr>
              <w:t>3</w:t>
            </w:r>
          </w:p>
        </w:tc>
        <w:tc>
          <w:tcPr>
            <w:tcW w:w="4678" w:type="dxa"/>
            <w:vAlign w:val="center"/>
          </w:tcPr>
          <w:p>
            <w:pPr>
              <w:jc w:val="left"/>
              <w:rPr>
                <w:rFonts w:ascii="宋体" w:hAnsi="宋体" w:cs="宋体"/>
                <w:szCs w:val="21"/>
              </w:rPr>
            </w:pPr>
            <w:r>
              <w:rPr>
                <w:rFonts w:hint="eastAsia" w:ascii="宋体" w:hAnsi="宋体" w:cs="宋体"/>
                <w:szCs w:val="21"/>
              </w:rPr>
              <w:t>2020年1月1日至投标截止日（以合同签订时间为准），投标人提供其承担的与所投核心产品同品牌和型号业绩，每提供1项有效业绩得1分，最高得3分。投标人必须在投标文件中提供每一个项目的合同（含签订合同双方的单位名称、合同项目名称与含签订合同双方的落款盖章、签订日期）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709" w:type="dxa"/>
            <w:vMerge w:val="continue"/>
            <w:vAlign w:val="center"/>
          </w:tcPr>
          <w:p>
            <w:pPr>
              <w:keepNext/>
              <w:keepLines/>
              <w:spacing w:before="340" w:after="330"/>
              <w:jc w:val="center"/>
              <w:outlineLvl w:val="0"/>
              <w:rPr>
                <w:rFonts w:ascii="宋体" w:hAnsi="宋体" w:cs="宋体"/>
                <w:szCs w:val="21"/>
                <w:highlight w:val="yellow"/>
              </w:rPr>
            </w:pPr>
          </w:p>
        </w:tc>
        <w:tc>
          <w:tcPr>
            <w:tcW w:w="699" w:type="dxa"/>
            <w:vAlign w:val="center"/>
          </w:tcPr>
          <w:p>
            <w:pPr>
              <w:jc w:val="center"/>
              <w:rPr>
                <w:rFonts w:ascii="宋体" w:hAnsi="宋体" w:cs="宋体"/>
                <w:szCs w:val="21"/>
              </w:rPr>
            </w:pPr>
            <w:r>
              <w:rPr>
                <w:rFonts w:hint="eastAsia" w:ascii="宋体" w:hAnsi="宋体" w:cs="宋体"/>
                <w:szCs w:val="21"/>
              </w:rPr>
              <w:t>5</w:t>
            </w:r>
          </w:p>
        </w:tc>
        <w:tc>
          <w:tcPr>
            <w:tcW w:w="1422" w:type="dxa"/>
            <w:vAlign w:val="center"/>
          </w:tcPr>
          <w:p>
            <w:pPr>
              <w:jc w:val="center"/>
              <w:rPr>
                <w:rFonts w:ascii="宋体" w:hAnsi="宋体" w:cs="宋体"/>
                <w:szCs w:val="21"/>
              </w:rPr>
            </w:pPr>
            <w:r>
              <w:rPr>
                <w:rFonts w:hint="eastAsia" w:ascii="宋体" w:hAnsi="宋体" w:cs="宋体"/>
                <w:szCs w:val="21"/>
              </w:rPr>
              <w:t>诚信评价</w:t>
            </w:r>
          </w:p>
        </w:tc>
        <w:tc>
          <w:tcPr>
            <w:tcW w:w="1431" w:type="dxa"/>
            <w:gridSpan w:val="2"/>
            <w:vAlign w:val="center"/>
          </w:tcPr>
          <w:p>
            <w:pPr>
              <w:jc w:val="center"/>
              <w:rPr>
                <w:rFonts w:ascii="宋体" w:hAnsi="宋体" w:cs="宋体"/>
                <w:szCs w:val="21"/>
              </w:rPr>
            </w:pPr>
            <w:r>
              <w:rPr>
                <w:rFonts w:hint="eastAsia" w:ascii="宋体" w:hAnsi="宋体" w:cs="宋体"/>
                <w:szCs w:val="21"/>
              </w:rPr>
              <w:t>5</w:t>
            </w:r>
          </w:p>
        </w:tc>
        <w:tc>
          <w:tcPr>
            <w:tcW w:w="4678" w:type="dxa"/>
          </w:tcPr>
          <w:p>
            <w:pPr>
              <w:jc w:val="left"/>
              <w:rPr>
                <w:rFonts w:ascii="宋体" w:hAnsi="宋体" w:cs="宋体"/>
                <w:szCs w:val="21"/>
              </w:rPr>
            </w:pPr>
            <w:r>
              <w:rPr>
                <w:rFonts w:hint="eastAsia" w:ascii="宋体" w:hAnsi="宋体" w:cs="宋体"/>
                <w:szCs w:val="21"/>
              </w:rPr>
              <w:t>投标人在参与政府采购活动中存在《深圳市财政局政府采购供应商信⽤信息管理办法》第⼗⼀条诚信相关问题且在主管部门相关处理措施实施期限内的，本项不得分，否则得满分。投标人无需提供任何证明材料，由工作人员查询后向评审委员会提供相关信息。</w:t>
            </w:r>
          </w:p>
        </w:tc>
      </w:tr>
    </w:tbl>
    <w:p>
      <w:pPr>
        <w:pStyle w:val="3"/>
      </w:pPr>
      <w:r>
        <w:rPr>
          <w:rFonts w:hint="eastAsia"/>
        </w:rPr>
        <w:t>第二章项目需求</w:t>
      </w:r>
    </w:p>
    <w:p>
      <w:pPr>
        <w:pStyle w:val="6"/>
        <w:spacing w:before="156" w:beforeLines="50" w:after="156" w:afterLines="50"/>
        <w:rPr>
          <w:rFonts w:cs="宋体"/>
          <w:szCs w:val="28"/>
        </w:rPr>
      </w:pPr>
      <w:bookmarkStart w:id="0" w:name="_Toc73517639"/>
      <w:bookmarkStart w:id="1" w:name="_Toc101074876"/>
      <w:bookmarkStart w:id="2" w:name="_Toc73521547"/>
      <w:bookmarkStart w:id="3" w:name="_Toc73521635"/>
      <w:bookmarkStart w:id="4" w:name="_Toc60631620"/>
      <w:bookmarkStart w:id="5" w:name="_Toc100052364"/>
      <w:bookmarkStart w:id="6" w:name="_Toc73518117"/>
      <w:bookmarkStart w:id="7" w:name="_Toc60560625"/>
      <w:r>
        <w:rPr>
          <w:rFonts w:hint="eastAsia" w:cs="宋体"/>
          <w:szCs w:val="28"/>
        </w:rPr>
        <w:t>一、项目概况</w:t>
      </w:r>
    </w:p>
    <w:bookmarkEnd w:id="0"/>
    <w:bookmarkEnd w:id="1"/>
    <w:bookmarkEnd w:id="2"/>
    <w:bookmarkEnd w:id="3"/>
    <w:bookmarkEnd w:id="4"/>
    <w:bookmarkEnd w:id="5"/>
    <w:bookmarkEnd w:id="6"/>
    <w:bookmarkEnd w:id="7"/>
    <w:p>
      <w:pPr>
        <w:spacing w:line="276" w:lineRule="auto"/>
        <w:ind w:firstLine="440" w:firstLineChars="200"/>
        <w:rPr>
          <w:rFonts w:hint="eastAsia" w:ascii="宋体" w:hAnsi="宋体"/>
          <w:sz w:val="22"/>
        </w:rPr>
      </w:pPr>
      <w:r>
        <w:rPr>
          <w:rFonts w:hint="eastAsia" w:ascii="宋体" w:hAnsi="宋体"/>
          <w:sz w:val="22"/>
        </w:rPr>
        <w:t>目前我校一卡通系统于2</w:t>
      </w:r>
      <w:r>
        <w:rPr>
          <w:rFonts w:ascii="宋体" w:hAnsi="宋体"/>
          <w:sz w:val="22"/>
        </w:rPr>
        <w:t>017</w:t>
      </w:r>
      <w:r>
        <w:rPr>
          <w:rFonts w:hint="eastAsia" w:ascii="宋体" w:hAnsi="宋体"/>
          <w:sz w:val="22"/>
        </w:rPr>
        <w:t>建设，采用I</w:t>
      </w:r>
      <w:r>
        <w:rPr>
          <w:rFonts w:ascii="宋体" w:hAnsi="宋体"/>
          <w:sz w:val="22"/>
        </w:rPr>
        <w:t>C</w:t>
      </w:r>
      <w:r>
        <w:rPr>
          <w:rFonts w:hint="eastAsia" w:ascii="宋体" w:hAnsi="宋体"/>
          <w:sz w:val="22"/>
        </w:rPr>
        <w:t>卡做介质，在使用的子系统包括：消费系统、门禁系统、自助发卡系统、现金充值系统、微信服务号（含微信充值）、自动售货机、批量制卡终端、超市收银系统、自动售货系统等，以及其他多项定制化开发、对接项目。系统平台较陈旧，已无法对当前主流的设备和应用进行支持，也不能满足学校新提出的管理需求，难以和智慧校园的其他系统应用进行对接、融合。</w:t>
      </w:r>
    </w:p>
    <w:p>
      <w:pPr>
        <w:spacing w:line="276" w:lineRule="auto"/>
        <w:ind w:firstLine="440" w:firstLineChars="200"/>
        <w:rPr>
          <w:rFonts w:ascii="宋体" w:hAnsi="宋体" w:cs="宋体"/>
          <w:szCs w:val="21"/>
        </w:rPr>
      </w:pPr>
      <w:r>
        <w:rPr>
          <w:rFonts w:hint="eastAsia" w:ascii="宋体" w:hAnsi="宋体"/>
          <w:sz w:val="22"/>
        </w:rPr>
        <w:t>基于上述因素需对校园一卡通系统升级，升级后系统采用B/S架构，无需安装客户端。新系统必须能够兼容现有的一卡通所有的硬件，在不更换一卡通终端，不重发、回收教师和学生卡的情况下直接使用。同时中标厂商应免费完成与其他已对接过的第三方系统的对接开发。</w:t>
      </w:r>
      <w:bookmarkStart w:id="8" w:name="_GoBack"/>
      <w:bookmarkEnd w:id="8"/>
    </w:p>
    <w:p>
      <w:pPr>
        <w:pStyle w:val="6"/>
        <w:numPr>
          <w:ilvl w:val="0"/>
          <w:numId w:val="3"/>
        </w:numPr>
        <w:spacing w:before="156" w:beforeLines="50" w:after="156" w:afterLines="50"/>
        <w:rPr>
          <w:rFonts w:cs="宋体"/>
          <w:szCs w:val="28"/>
        </w:rPr>
      </w:pPr>
      <w:r>
        <w:rPr>
          <w:rFonts w:hint="eastAsia" w:cs="宋体"/>
          <w:szCs w:val="28"/>
        </w:rPr>
        <w:t>货物清单</w:t>
      </w:r>
    </w:p>
    <w:tbl>
      <w:tblPr>
        <w:tblStyle w:val="14"/>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265"/>
        <w:gridCol w:w="1335"/>
        <w:gridCol w:w="1290"/>
        <w:gridCol w:w="126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jc w:val="center"/>
              <w:rPr>
                <w:rFonts w:ascii="宋体" w:hAnsi="宋体" w:cs="宋体"/>
                <w:bCs/>
                <w:szCs w:val="21"/>
              </w:rPr>
            </w:pPr>
            <w:r>
              <w:rPr>
                <w:rFonts w:hint="eastAsia" w:ascii="宋体" w:hAnsi="宋体" w:cs="宋体"/>
                <w:bCs/>
                <w:szCs w:val="21"/>
              </w:rPr>
              <w:t>序号</w:t>
            </w:r>
          </w:p>
        </w:tc>
        <w:tc>
          <w:tcPr>
            <w:tcW w:w="2265" w:type="dxa"/>
            <w:vAlign w:val="center"/>
          </w:tcPr>
          <w:p>
            <w:pPr>
              <w:jc w:val="center"/>
              <w:rPr>
                <w:rFonts w:ascii="宋体" w:hAnsi="宋体" w:cs="宋体"/>
                <w:bCs/>
                <w:szCs w:val="21"/>
              </w:rPr>
            </w:pPr>
            <w:r>
              <w:rPr>
                <w:rFonts w:hint="eastAsia" w:ascii="宋体" w:hAnsi="宋体" w:cs="宋体"/>
                <w:bCs/>
                <w:szCs w:val="21"/>
              </w:rPr>
              <w:t>货物名称</w:t>
            </w:r>
          </w:p>
        </w:tc>
        <w:tc>
          <w:tcPr>
            <w:tcW w:w="1335" w:type="dxa"/>
            <w:vAlign w:val="center"/>
          </w:tcPr>
          <w:p>
            <w:pPr>
              <w:jc w:val="center"/>
              <w:rPr>
                <w:rFonts w:ascii="宋体" w:hAnsi="宋体" w:cs="宋体"/>
                <w:bCs/>
                <w:szCs w:val="21"/>
              </w:rPr>
            </w:pPr>
            <w:r>
              <w:rPr>
                <w:rFonts w:hint="eastAsia" w:ascii="宋体" w:hAnsi="宋体" w:cs="宋体"/>
                <w:bCs/>
                <w:szCs w:val="21"/>
              </w:rPr>
              <w:t>单位</w:t>
            </w:r>
          </w:p>
        </w:tc>
        <w:tc>
          <w:tcPr>
            <w:tcW w:w="1290" w:type="dxa"/>
            <w:vAlign w:val="center"/>
          </w:tcPr>
          <w:p>
            <w:pPr>
              <w:jc w:val="center"/>
              <w:rPr>
                <w:rFonts w:ascii="宋体" w:hAnsi="宋体" w:cs="宋体"/>
                <w:bCs/>
                <w:szCs w:val="21"/>
              </w:rPr>
            </w:pPr>
            <w:r>
              <w:rPr>
                <w:rFonts w:hint="eastAsia" w:ascii="宋体" w:hAnsi="宋体" w:cs="宋体"/>
                <w:bCs/>
                <w:szCs w:val="21"/>
              </w:rPr>
              <w:t>数量</w:t>
            </w:r>
          </w:p>
        </w:tc>
        <w:tc>
          <w:tcPr>
            <w:tcW w:w="1269" w:type="dxa"/>
            <w:vAlign w:val="center"/>
          </w:tcPr>
          <w:p>
            <w:pPr>
              <w:jc w:val="center"/>
              <w:rPr>
                <w:rFonts w:ascii="宋体" w:hAnsi="宋体" w:cs="宋体"/>
                <w:bCs/>
                <w:szCs w:val="21"/>
              </w:rPr>
            </w:pPr>
            <w:r>
              <w:rPr>
                <w:rFonts w:hint="eastAsia" w:ascii="宋体" w:hAnsi="宋体" w:cs="宋体"/>
                <w:bCs/>
                <w:szCs w:val="21"/>
              </w:rPr>
              <w:t>允许采购</w:t>
            </w:r>
          </w:p>
          <w:p>
            <w:pPr>
              <w:jc w:val="center"/>
              <w:rPr>
                <w:rFonts w:ascii="宋体" w:hAnsi="宋体" w:cs="宋体"/>
                <w:szCs w:val="21"/>
              </w:rPr>
            </w:pPr>
            <w:r>
              <w:rPr>
                <w:rFonts w:hint="eastAsia" w:ascii="宋体" w:hAnsi="宋体" w:cs="宋体"/>
                <w:bCs/>
                <w:szCs w:val="21"/>
              </w:rPr>
              <w:t>进口产品</w:t>
            </w:r>
          </w:p>
        </w:tc>
        <w:tc>
          <w:tcPr>
            <w:tcW w:w="183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宋体" w:hAnsi="宋体" w:cs="宋体"/>
                <w:bCs/>
                <w:szCs w:val="21"/>
              </w:rPr>
            </w:pPr>
            <w:r>
              <w:rPr>
                <w:rFonts w:hint="eastAsia" w:ascii="宋体" w:hAnsi="宋体"/>
                <w:b/>
                <w:bCs/>
                <w:sz w:val="22"/>
              </w:rPr>
              <w:t>1</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综合管理平台</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r>
              <w:rPr>
                <w:rFonts w:hint="eastAsia" w:ascii="宋体" w:hAnsi="宋体"/>
                <w:sz w:val="22"/>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宋体" w:hAnsi="宋体" w:cs="宋体"/>
                <w:bCs/>
                <w:szCs w:val="21"/>
              </w:rPr>
            </w:pPr>
            <w:r>
              <w:rPr>
                <w:rFonts w:hint="eastAsia" w:ascii="宋体" w:hAnsi="宋体"/>
                <w:b/>
                <w:bCs/>
                <w:sz w:val="22"/>
              </w:rPr>
              <w:t>2</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身份信息平台</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3</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支付管理平台</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4</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系统运维平台</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5</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综合前置平台</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6</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卡务中心</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7</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结算中心</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8</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微信服务号</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9</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自助发卡系统</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1</w:t>
            </w:r>
            <w:r>
              <w:rPr>
                <w:rFonts w:ascii="宋体" w:hAnsi="宋体"/>
                <w:b/>
                <w:bCs/>
                <w:sz w:val="22"/>
              </w:rPr>
              <w:t>0</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现金充值系统</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1</w:t>
            </w:r>
            <w:r>
              <w:rPr>
                <w:rFonts w:ascii="宋体" w:hAnsi="宋体"/>
                <w:b/>
                <w:bCs/>
                <w:sz w:val="22"/>
              </w:rPr>
              <w:t>1</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门禁管理系统</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1</w:t>
            </w:r>
            <w:r>
              <w:rPr>
                <w:rFonts w:ascii="宋体" w:hAnsi="宋体"/>
                <w:b/>
                <w:bCs/>
                <w:sz w:val="22"/>
              </w:rPr>
              <w:t>2</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电梯控制管理软件</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1</w:t>
            </w:r>
            <w:r>
              <w:rPr>
                <w:rFonts w:ascii="宋体" w:hAnsi="宋体"/>
                <w:b/>
                <w:bCs/>
                <w:sz w:val="22"/>
              </w:rPr>
              <w:t>3</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大门出入管理系统</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1</w:t>
            </w:r>
            <w:r>
              <w:rPr>
                <w:rFonts w:ascii="宋体" w:hAnsi="宋体"/>
                <w:b/>
                <w:bCs/>
                <w:sz w:val="22"/>
              </w:rPr>
              <w:t>4</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消费管理系统</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套</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055" w:type="dxa"/>
            <w:vAlign w:val="center"/>
          </w:tcPr>
          <w:p>
            <w:pPr>
              <w:spacing w:line="276" w:lineRule="auto"/>
              <w:jc w:val="center"/>
              <w:rPr>
                <w:rFonts w:ascii="仿宋" w:hAnsi="仿宋" w:eastAsia="仿宋"/>
                <w:bCs/>
                <w:szCs w:val="21"/>
              </w:rPr>
            </w:pPr>
            <w:r>
              <w:rPr>
                <w:rFonts w:hint="eastAsia" w:ascii="宋体" w:hAnsi="宋体"/>
                <w:b/>
                <w:bCs/>
                <w:sz w:val="22"/>
              </w:rPr>
              <w:t>1</w:t>
            </w:r>
            <w:r>
              <w:rPr>
                <w:rFonts w:ascii="宋体" w:hAnsi="宋体"/>
                <w:b/>
                <w:bCs/>
                <w:sz w:val="22"/>
              </w:rPr>
              <w:t>5</w:t>
            </w:r>
          </w:p>
        </w:tc>
        <w:tc>
          <w:tcPr>
            <w:tcW w:w="2265" w:type="dxa"/>
            <w:vAlign w:val="center"/>
          </w:tcPr>
          <w:p>
            <w:pPr>
              <w:spacing w:line="276" w:lineRule="auto"/>
              <w:jc w:val="center"/>
              <w:rPr>
                <w:rFonts w:ascii="仿宋" w:hAnsi="仿宋" w:eastAsia="仿宋"/>
                <w:bCs/>
                <w:szCs w:val="21"/>
              </w:rPr>
            </w:pPr>
            <w:r>
              <w:rPr>
                <w:rFonts w:hint="eastAsia" w:ascii="宋体" w:hAnsi="宋体"/>
                <w:szCs w:val="21"/>
              </w:rPr>
              <w:t>安装和调试费</w:t>
            </w:r>
          </w:p>
        </w:tc>
        <w:tc>
          <w:tcPr>
            <w:tcW w:w="1335" w:type="dxa"/>
            <w:vAlign w:val="center"/>
          </w:tcPr>
          <w:p>
            <w:pPr>
              <w:spacing w:line="276" w:lineRule="auto"/>
              <w:jc w:val="center"/>
              <w:rPr>
                <w:rFonts w:ascii="仿宋" w:hAnsi="仿宋" w:eastAsia="仿宋"/>
                <w:bCs/>
                <w:szCs w:val="21"/>
              </w:rPr>
            </w:pPr>
            <w:r>
              <w:rPr>
                <w:rFonts w:hint="eastAsia" w:ascii="宋体" w:hAnsi="宋体"/>
                <w:szCs w:val="21"/>
              </w:rPr>
              <w:t>项</w:t>
            </w:r>
          </w:p>
        </w:tc>
        <w:tc>
          <w:tcPr>
            <w:tcW w:w="1290" w:type="dxa"/>
            <w:vAlign w:val="center"/>
          </w:tcPr>
          <w:p>
            <w:pPr>
              <w:spacing w:line="276" w:lineRule="auto"/>
              <w:jc w:val="center"/>
              <w:rPr>
                <w:rFonts w:ascii="仿宋" w:hAnsi="仿宋" w:eastAsia="仿宋"/>
                <w:bCs/>
                <w:szCs w:val="21"/>
              </w:rPr>
            </w:pPr>
            <w:r>
              <w:rPr>
                <w:rFonts w:hint="eastAsia" w:ascii="宋体" w:hAnsi="宋体"/>
                <w:szCs w:val="21"/>
              </w:rPr>
              <w:t>1</w:t>
            </w:r>
          </w:p>
        </w:tc>
        <w:tc>
          <w:tcPr>
            <w:tcW w:w="1269" w:type="dxa"/>
            <w:vAlign w:val="center"/>
          </w:tcPr>
          <w:p>
            <w:pPr>
              <w:spacing w:line="276" w:lineRule="auto"/>
              <w:jc w:val="center"/>
              <w:rPr>
                <w:rFonts w:ascii="宋体" w:hAnsi="宋体"/>
                <w:sz w:val="22"/>
              </w:rPr>
            </w:pPr>
            <w:r>
              <w:rPr>
                <w:rFonts w:hint="eastAsia" w:ascii="宋体" w:hAnsi="宋体"/>
                <w:sz w:val="22"/>
              </w:rPr>
              <w:t>拒绝进口</w:t>
            </w:r>
          </w:p>
        </w:tc>
        <w:tc>
          <w:tcPr>
            <w:tcW w:w="1830" w:type="dxa"/>
            <w:vAlign w:val="center"/>
          </w:tcPr>
          <w:p>
            <w:pPr>
              <w:spacing w:line="276" w:lineRule="auto"/>
              <w:jc w:val="center"/>
              <w:rPr>
                <w:rFonts w:ascii="仿宋" w:hAnsi="仿宋" w:eastAsia="仿宋"/>
                <w:bCs/>
                <w:szCs w:val="21"/>
              </w:rPr>
            </w:pPr>
          </w:p>
        </w:tc>
      </w:tr>
    </w:tbl>
    <w:p>
      <w:pPr>
        <w:pStyle w:val="6"/>
        <w:spacing w:before="156" w:beforeLines="50" w:after="156" w:afterLines="50"/>
        <w:rPr>
          <w:rFonts w:cs="宋体"/>
          <w:szCs w:val="28"/>
        </w:rPr>
      </w:pPr>
      <w:r>
        <w:rPr>
          <w:rFonts w:hint="eastAsia" w:cs="宋体"/>
          <w:szCs w:val="28"/>
        </w:rPr>
        <w:t>三、具体技术要求</w:t>
      </w:r>
    </w:p>
    <w:p>
      <w:pPr>
        <w:rPr>
          <w:rFonts w:ascii="宋体" w:hAnsi="宋体" w:cs="宋体"/>
          <w:bCs/>
          <w:szCs w:val="21"/>
        </w:rPr>
      </w:pPr>
      <w:r>
        <w:rPr>
          <w:rFonts w:hint="eastAsia" w:ascii="宋体" w:hAnsi="宋体" w:cs="宋体"/>
          <w:bCs/>
          <w:szCs w:val="21"/>
        </w:rPr>
        <w:t>说明：投标人须如实填写《技术规格偏离表》，并按招标文件的要求提供相关证明资料，包括产品原厂说明书或产品彩页等。提供的证明资料与投标响应情况不相符的，视为《技术规格偏离表》填写不实。</w:t>
      </w:r>
    </w:p>
    <w:tbl>
      <w:tblPr>
        <w:tblStyle w:val="14"/>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76"/>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00" w:type="dxa"/>
            <w:vAlign w:val="center"/>
          </w:tcPr>
          <w:p>
            <w:pPr>
              <w:jc w:val="center"/>
              <w:rPr>
                <w:rFonts w:ascii="仿宋" w:hAnsi="仿宋" w:eastAsia="仿宋"/>
                <w:bCs/>
                <w:szCs w:val="21"/>
              </w:rPr>
            </w:pPr>
            <w:r>
              <w:rPr>
                <w:rFonts w:hint="eastAsia" w:ascii="仿宋" w:hAnsi="仿宋" w:eastAsia="仿宋"/>
                <w:bCs/>
                <w:szCs w:val="21"/>
              </w:rPr>
              <w:t>序号</w:t>
            </w:r>
          </w:p>
        </w:tc>
        <w:tc>
          <w:tcPr>
            <w:tcW w:w="1476" w:type="dxa"/>
            <w:vAlign w:val="center"/>
          </w:tcPr>
          <w:p>
            <w:pPr>
              <w:widowControl/>
              <w:jc w:val="center"/>
              <w:rPr>
                <w:rFonts w:ascii="仿宋" w:hAnsi="仿宋" w:eastAsia="仿宋"/>
                <w:bCs/>
                <w:szCs w:val="21"/>
              </w:rPr>
            </w:pPr>
            <w:r>
              <w:rPr>
                <w:rFonts w:hint="eastAsia" w:ascii="仿宋" w:hAnsi="仿宋" w:eastAsia="仿宋"/>
                <w:bCs/>
                <w:szCs w:val="21"/>
              </w:rPr>
              <w:t>货物名称</w:t>
            </w:r>
          </w:p>
        </w:tc>
        <w:tc>
          <w:tcPr>
            <w:tcW w:w="5986" w:type="dxa"/>
            <w:vAlign w:val="center"/>
          </w:tcPr>
          <w:p>
            <w:pPr>
              <w:jc w:val="center"/>
              <w:rPr>
                <w:rFonts w:ascii="仿宋" w:hAnsi="仿宋" w:eastAsia="仿宋"/>
                <w:bCs/>
                <w:szCs w:val="21"/>
              </w:rPr>
            </w:pPr>
            <w:r>
              <w:rPr>
                <w:rFonts w:hint="eastAsia" w:ascii="仿宋" w:hAnsi="仿宋" w:eastAsia="仿宋"/>
                <w:bCs/>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81</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综合管理平台</w:t>
            </w:r>
          </w:p>
        </w:tc>
        <w:tc>
          <w:tcPr>
            <w:tcW w:w="5986" w:type="dxa"/>
          </w:tcPr>
          <w:p>
            <w:pPr>
              <w:widowControl/>
              <w:jc w:val="left"/>
              <w:rPr>
                <w:rFonts w:ascii="宋体" w:hAnsi="宋体" w:cs="宋体"/>
                <w:bCs/>
                <w:szCs w:val="21"/>
              </w:rPr>
            </w:pPr>
            <w:r>
              <w:rPr>
                <w:rFonts w:hint="eastAsia" w:ascii="宋体" w:hAnsi="宋体" w:cs="宋体"/>
                <w:color w:val="000000"/>
                <w:kern w:val="0"/>
                <w:szCs w:val="21"/>
              </w:rPr>
              <w:t>1.架构要求：基于springcloud的服务架构，B/S结构，基于Windows操作系统，支持64位操作系统，支持SQLserver2012以上版本数据库；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2.性能要求：支持的操作员数量大于200个，支持的商户数量不小于1000个；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3.支持对于一卡通相关的基础参数、全局参数的配置管理，对操作员、操作员权限、商户、商户管理员等进行集中的统一的管理；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4.可支持进行详细的权限设置，可精确的设定例如某管理员有权限查询某报表但无权打印；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szCs w:val="21"/>
              </w:rPr>
            </w:pPr>
            <w:r>
              <w:rPr>
                <w:rFonts w:hint="eastAsia" w:ascii="宋体" w:hAnsi="宋体" w:cs="宋体"/>
                <w:color w:val="000000"/>
                <w:kern w:val="0"/>
                <w:szCs w:val="21"/>
              </w:rPr>
              <w:t>5.建筑物管理：具有对校内各建筑物的分类、统计、记录等管理功能，以及宿舍管理、宿舍分配、宿舍调整的功能，可以满足自动分配宿舍的要求，支持图形化房态示意图，实时查询房态。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szCs w:val="21"/>
              </w:rPr>
            </w:pPr>
            <w:r>
              <w:rPr>
                <w:rFonts w:hint="eastAsia" w:ascii="宋体" w:hAnsi="宋体" w:cs="宋体"/>
                <w:color w:val="000000"/>
                <w:kern w:val="0"/>
                <w:szCs w:val="21"/>
              </w:rPr>
              <w:t>6.校历管理：具有校历录入和节假日设置功能，通过校历设置可更精准的实现包括走班签到、进出校园、请销假等功能的智能化判断。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7.账务管理：统一校内支付账户，校内每个用户仅允许一个账户，网上订餐、餐厅取餐、超市消费、水控、电控都共用一个账户，不允许另设单独的账户或子账户，校园卡采用后台账户/卡钱包智能同步技术，满足联机、脱机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8.▲平台应兼容学校现有的一卡通各类终端，包括消费机、门禁机、发卡器、大门通道、自助终端、自动制卡终端、售货机、超市收银终端等，在</w:t>
            </w:r>
            <w:r>
              <w:rPr>
                <w:rFonts w:hint="eastAsia" w:ascii="宋体" w:hAnsi="宋体"/>
                <w:b/>
                <w:bCs/>
                <w:sz w:val="22"/>
              </w:rPr>
              <w:t>不重发、回收教师和学生卡的情况下直接使用；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szCs w:val="21"/>
              </w:rPr>
            </w:pPr>
            <w:r>
              <w:rPr>
                <w:rFonts w:hint="eastAsia" w:ascii="宋体" w:hAnsi="宋体" w:cs="宋体"/>
                <w:b/>
                <w:bCs/>
                <w:color w:val="000000"/>
                <w:kern w:val="0"/>
                <w:szCs w:val="21"/>
              </w:rPr>
              <w:t>9.▲投标人所投产品应获得国家知识产权管理部门颁发的《综合管理平台》软件著作权证书。提供证书复印件并加盖投标人公章。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2</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身份信息平台</w:t>
            </w:r>
          </w:p>
        </w:tc>
        <w:tc>
          <w:tcPr>
            <w:tcW w:w="5986" w:type="dxa"/>
          </w:tcPr>
          <w:p>
            <w:pPr>
              <w:widowControl/>
              <w:jc w:val="left"/>
              <w:rPr>
                <w:rFonts w:ascii="宋体" w:hAnsi="宋体" w:cs="宋体"/>
                <w:bCs/>
                <w:szCs w:val="21"/>
              </w:rPr>
            </w:pPr>
            <w:r>
              <w:rPr>
                <w:rFonts w:hint="eastAsia" w:ascii="宋体" w:hAnsi="宋体" w:cs="宋体"/>
                <w:color w:val="000000"/>
                <w:kern w:val="0"/>
                <w:szCs w:val="21"/>
              </w:rPr>
              <w:t>1.架构要求：基于springcloud的服务架构，B/S结构，基于Windows操作系统，支持64位操作系统，支持SQLserver2012以上版本数据库；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2.性能要求：系统支持管理用户人数不小于100万，支持人员类别数量不小于1000种，支持的部门级别不小于32级；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3.支持对于全校的人事数据进行集中管理，主要包括部门管理、人员档案管理、数据导入导出、数据查询等功能；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color w:val="000000"/>
                <w:kern w:val="0"/>
                <w:szCs w:val="21"/>
              </w:rPr>
              <w:t>4.身份信息平台作为全校的身份数据中心，支持向第三方系统以标准接口形式提供身份信息及身份验证服务的功能。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3</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支付管理平台</w:t>
            </w:r>
          </w:p>
        </w:tc>
        <w:tc>
          <w:tcPr>
            <w:tcW w:w="5986" w:type="dxa"/>
          </w:tcPr>
          <w:p>
            <w:pPr>
              <w:widowControl/>
              <w:jc w:val="left"/>
              <w:rPr>
                <w:rFonts w:ascii="宋体" w:hAnsi="宋体" w:cs="宋体"/>
                <w:bCs/>
                <w:szCs w:val="21"/>
              </w:rPr>
            </w:pPr>
            <w:r>
              <w:rPr>
                <w:rFonts w:hint="eastAsia" w:ascii="宋体" w:hAnsi="宋体" w:cs="宋体"/>
                <w:color w:val="000000"/>
                <w:kern w:val="0"/>
                <w:szCs w:val="21"/>
              </w:rPr>
              <w:t>1.B/S结构，基于Windows64位操作系统，SQL2012以上数据库，springcloud微服务架构；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b/>
                <w:bCs/>
                <w:color w:val="000000"/>
                <w:kern w:val="0"/>
                <w:szCs w:val="21"/>
              </w:rPr>
              <w:t>2.▲代扣管理：系统与银联云闪付、支付宝、微信、多家银行支付接口集成，可开通刷卡/扫码/刷脸代扣支付，无需充值，支付时即直接从上述平台划账到学校账户或商户账户；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Cs/>
                <w:szCs w:val="21"/>
              </w:rPr>
            </w:pPr>
            <w:r>
              <w:rPr>
                <w:rFonts w:hint="eastAsia" w:ascii="宋体" w:hAnsi="宋体" w:cs="宋体"/>
                <w:b/>
                <w:bCs/>
                <w:color w:val="000000"/>
                <w:kern w:val="0"/>
                <w:szCs w:val="21"/>
              </w:rPr>
              <w:t>3.▲后台开户：通过支付平台，可以为身份信息平台中通过审核的用户开通后台账户，无需发卡，即可向账户充值，并通过人脸、虚拟卡进行支付，实体卡发卡后，卡余额自动与后台账户同步；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4.虚拟卡管理：系统支持开通电子校园卡，即虚拟卡，通过平台授权后可以利用微信小程序生成虚拟卡，通过二维码形式展示，允许消费机读取；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5.第三方支付虚拟卡管理：系统同时支持银联云闪付、支付宝、微信微校的官方电子校园卡，上述公司与学校签订合作协议后，在官方APP中可开通校园虚拟卡，通过二维码形式展示，可在一卡通系统中消费机上读取，通过上述支付系统代扣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6.手机扫码管理：通过虚拟卡可以被专用终端进行读取的同时，也支持使用手机扫设备二维码的形式实现手机支付；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7.</w:t>
            </w:r>
            <w:r>
              <w:rPr>
                <w:rFonts w:hint="eastAsia" w:ascii="宋体" w:hAnsi="宋体" w:cs="宋体"/>
                <w:b/>
                <w:bCs/>
                <w:color w:val="000000"/>
                <w:kern w:val="0"/>
                <w:szCs w:val="21"/>
              </w:rPr>
              <w:t>▲投标人所投产品应获得国家知识产权管理部门颁发的《支付管理平台》软件著作权证书，提供证书复印件并加盖投标人公章。。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4</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系统运维平台</w:t>
            </w: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1.架构要求：基于springcloud的服务架构，B/S结构，基于Windows操作系统，支持64位操作系统，支持SQL2012以上版本数据库；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2.性能要求：系统状态刷新时间最小为1S，支持的实时监控终端数量不小于9999个；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3.支持对一卡通系统中各类终端进行实时监控、异常报警；可自定义状态刷新时间、异常报警容忍时间及频率；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b/>
                <w:bCs/>
                <w:color w:val="000000"/>
                <w:kern w:val="0"/>
                <w:szCs w:val="21"/>
              </w:rPr>
              <w:t>4.▲支持对一卡通系统中应用服务器和前置服务器的资源占用、进程状况进行实时、图形化监控和显示；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b/>
                <w:bCs/>
                <w:color w:val="000000"/>
                <w:kern w:val="0"/>
                <w:szCs w:val="21"/>
              </w:rPr>
              <w:t>5.▲投标人所投产品应获得国家知识产权管理部门颁发的《系统运维平台》软件著作权证书，提供证书复印件并加盖投标人公章。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5</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综合前置平台</w:t>
            </w: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1.架构要求：基于springcloud的服务架构，B/S结构，基于Windows操作系统，支持64位操作系统，支持SQL2012以上版本数据库；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2.提供各类一卡通终端接入系统平台的通讯服务，支持负载均衡下的分布式部署；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3.大容量、高并发设计：平台采用常规单服务器部署支持最大9999台各类型设备接入；最大支持不低于999台设备的同时并发通讯请求与应答。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6</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卡务中心</w:t>
            </w: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1.架构要求：C/S架构，基于Windows操作系统，支持64位操作系统，支持SQLserver2012以上版本数据库；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2.性能要求：系统支持管理卡片数量不小于100万张，支持的卡片类别不小于64种，支持管理的黑名单数量不小于100万个；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3.基本功能要求：支持对于一卡通系统中的卡片进行集中管理。包括卡片授权、卡片销户、卡片充值、卡片退款、卡片挂失、卡片解挂，个性化卡片的打印制作等功能；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4.</w:t>
            </w:r>
            <w:r>
              <w:rPr>
                <w:rFonts w:hint="eastAsia" w:ascii="宋体" w:hAnsi="宋体" w:cs="宋体"/>
                <w:b/>
                <w:bCs/>
                <w:color w:val="000000"/>
                <w:kern w:val="0"/>
                <w:szCs w:val="21"/>
              </w:rPr>
              <w:t>▲支持每个账户一个主卡及不超过三张副卡设计，共用一个账户；副卡形式多样，包括智能手环、NFC手机、金融IC卡等，同时可由用户自定义副卡使用的子系统，保障用卡的便利和安全</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5.制卡管理：具备基础的制卡功能，能够自动实现单张、按学号批量、按班级/单位批量打印制卡功能，提高一卡通中心效率。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7</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结算中心</w:t>
            </w: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1.架构要求：基于springcloud的服务架构，B/S结构，基于Windows操作系统，支持64位操作系统，支持SQL2012以上版本数据库；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2.性能要求：系统支持的结算账户数量不小于1000个，支持设置精确到分钟的查询起止时间；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3.账务结算：有完善的账务系统，能够满足校园账务管理的需求，同时支持圈存系统账务与银行间的自动对账；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4.财务管理功能：可以调整账目，在核算单位的科目之间，科目与商户之间，商户之间划转资金，以达到帐目平衡；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5.支持对于一卡通系统中的商户、区域进行统一的管理；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6.支持对于系统中的各种账务信息进行统一的管理；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7.支持各种报表的查询、打印、导出等。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8</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微信服务号</w:t>
            </w: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1.支持使用学校微信服务号绑定一卡通系统账户；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2.支持消费记录、充值记录查询等功能；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3.支持微信充值等操作；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4.支持卡片挂失、解挂功能；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5.支持通过微信服务号远程开门；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b/>
                <w:bCs/>
                <w:color w:val="000000"/>
                <w:kern w:val="0"/>
                <w:szCs w:val="21"/>
              </w:rPr>
            </w:pPr>
            <w:r>
              <w:rPr>
                <w:rFonts w:hint="eastAsia" w:ascii="宋体" w:hAnsi="宋体" w:cs="宋体"/>
                <w:color w:val="000000"/>
                <w:kern w:val="0"/>
                <w:szCs w:val="21"/>
              </w:rPr>
              <w:t>6.支持人脸识别照片上传、更换功能。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9</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自助发卡系统</w:t>
            </w: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1.架构要求：C/S架构软件，基于Windows操作系统，支持64位操作系统；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2.可通过平台的web页面配置在自助发卡系统在终端上显示的菜单顺序、功能、登录参数；但至少应支持自助补发卡、卡片打印、自助查询、卡内转账、挂失解挂等功能；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b/>
                <w:bCs/>
                <w:color w:val="000000"/>
                <w:kern w:val="0"/>
                <w:szCs w:val="21"/>
              </w:rPr>
              <w:t>3.▲支持卡片的个性化打印，包括照片、姓名、班级等资料，并在卡片打印时一次性完成卡片初始化，不允许出卡后再刷卡激活；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4.支持根据人员类型设计不同的版式，最多允许同时支持8类人员版式，系统自动按照人员类别打印对应的卡片版式。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5.支持打印相片、姓名、班级、二维码、条码等信息；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6.支持通过账号密码、身份证、指纹登录，补卡时自动补入原有余额；原卡片自动挂失。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7.系统可以通过二代身份证识别、指纹识别、IC卡识别等多种技术识别用户身份；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8.可以通过自助服务系统自助进行挂失、解挂等操作；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10</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现金充值系统</w:t>
            </w: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1.架构要求：C/S架构软件，基于Windows操作系统，支持64位操作系统；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2.包含C/S架构软件及后台服务程序，安装在现金自助充值机上；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3.支持24小时现金自助充值；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4.支持个人信息查询、消费记录查询；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5.支持自助修改个人密码；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6.支持自助挂失、解挂功能；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b/>
                <w:bCs/>
                <w:color w:val="000000"/>
                <w:kern w:val="0"/>
                <w:szCs w:val="21"/>
              </w:rPr>
              <w:t>7.▲系统可以通过刷卡识别、指纹识别、账号密码识别等多种技术识别用户身份；上述信息无需再次收集，直接使用旧系统数据。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11</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门禁管理系统</w:t>
            </w: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1.架构要求：基于springcloud的服务架构，B/S结构，基于Windows操作系统，支持64位操作系统，支持SQL2012以上版本数据库；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2.性能要求：支持对于不小于9999台以太网门禁机进行统一的监控和管理；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3.基本功能要求：支持门禁设备管理、权限管理、时间段权限管理，并可提供实用丰富的报表；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4.支持对门禁的实时状态监控、门开关状态监控，支持远程控制门禁；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5.支持多种门禁机的管理，包括学校一卡通系统中管理的现有门禁设备，以及智能卡门禁、指纹门禁等，不允许使用多套软件进行管理；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b/>
                <w:bCs/>
                <w:color w:val="000000"/>
                <w:kern w:val="0"/>
                <w:szCs w:val="21"/>
              </w:rPr>
              <w:t>▲投标人所投产品应获得国家知识产权管理部门颁发的《门禁管理系统》软件著作权证书,提供证书复印件并加盖投标人公章。。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12</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电梯控制管理软件</w:t>
            </w: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1.架构要求：基于springcloud的服务架构，B/S结构，基于Windows操作系统，支持64位操作系统，支持SQL2012以上版本数据库；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2.基本功能要求：关联门禁系统应用，支持门禁设备管理、权限管理、时间段权限管理，并可提供实用丰富的报表；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3.通过授权卡开启电梯上行或下行按钮，实现无偏离启电梯上行或下行按钮，实现每层通过校园卡控制上、下按键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13</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大门出入管理系统</w:t>
            </w: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1.架构要求：C/S架构软件，基于Windows操作系统，支持64位操作系统；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2.安装在工控机上；实现闸机管理，支持刷卡人员信息大屏实时显示，每屏支持单通道（2路）至四通道（8路）刷卡信息显示；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3.支持进出数据实时推送给指定人员，免费支持与OA办公系统请销假功能、访客系统联动；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4.与多个应用子系统联动，通过请假系统可生成临时出入权限，并支持出闸时自动推送消息；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b/>
                <w:bCs/>
                <w:color w:val="000000"/>
                <w:kern w:val="0"/>
                <w:szCs w:val="21"/>
              </w:rPr>
              <w:t>5.▲支持自定义权限组划分，通过设置人员标签，建立多种权限组，为不同权限组设置不同的出入权限策略；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b/>
                <w:bCs/>
                <w:color w:val="000000"/>
                <w:kern w:val="0"/>
                <w:szCs w:val="21"/>
              </w:rPr>
              <w:t>▲支持长期权限、临时权限、一次性权限划分，临时权限在一定时间段内生效，一次性权限一次通行即失效，满足学校灵活管理需求。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14</w:t>
            </w:r>
          </w:p>
        </w:tc>
        <w:tc>
          <w:tcPr>
            <w:tcW w:w="1476" w:type="dxa"/>
            <w:vMerge w:val="restart"/>
            <w:vAlign w:val="center"/>
          </w:tcPr>
          <w:p>
            <w:pPr>
              <w:widowControl/>
              <w:jc w:val="center"/>
              <w:rPr>
                <w:rFonts w:ascii="宋体" w:hAnsi="宋体" w:cs="宋体"/>
                <w:bCs/>
                <w:szCs w:val="21"/>
              </w:rPr>
            </w:pPr>
            <w:r>
              <w:rPr>
                <w:rFonts w:hint="eastAsia" w:ascii="宋体" w:hAnsi="宋体" w:cs="宋体"/>
                <w:color w:val="000000"/>
                <w:kern w:val="0"/>
                <w:szCs w:val="21"/>
              </w:rPr>
              <w:t>消费管理系统</w:t>
            </w: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1.架构要求：基于springcloud的服务架构，B/S结构，基于Windows操作系统，支持64位操作系统，支持SQL2012以上版本数据库；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2.性能要求：支持对于不小于9999台以太网消费机进行统一的监控和管理；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3.支持对于消费机进行管理、参数配置，人工数据采集、黑名单下载等操作，方便食堂管理人员进行设备管理；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4.支持提供基础的数据数据报表方便食堂管理人员进行基础的账务查询；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5.消费系统支持双钱包模式，包括现金和补助钱包，并且具备灵活的有效期和使用规则管理，例如先现金后补助、先补助后现金、仅补助、仅现金等；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b/>
                <w:bCs/>
                <w:color w:val="000000"/>
                <w:kern w:val="0"/>
                <w:szCs w:val="21"/>
              </w:rPr>
              <w:t>6.▲参考人民银行pboc3.0标准，支持在线式交易，以后台数据库账户为主，卡片信息为辅，卡片钱包与账户信息智能同步的机制，确保账务精准；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7.支持脱机交易，脱机时仍可以实现卡有效期、限额、限次等高级参数；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8.可以设置终端最大脱机时间，超出时间无法有效联机签到则暂停终端使用；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9.支持根据教师、学生身份类别进行优惠打折；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10.具备消费限额管理功能，支持多种扣款模式：金额、定额、菜单、份数等。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Merge w:val="continue"/>
            <w:vAlign w:val="center"/>
          </w:tcPr>
          <w:p>
            <w:pPr>
              <w:widowControl/>
              <w:jc w:val="left"/>
              <w:rPr>
                <w:rFonts w:ascii="宋体" w:hAnsi="宋体" w:cs="宋体"/>
                <w:bCs/>
                <w:szCs w:val="21"/>
              </w:rPr>
            </w:pPr>
          </w:p>
        </w:tc>
        <w:tc>
          <w:tcPr>
            <w:tcW w:w="1476" w:type="dxa"/>
            <w:vMerge w:val="continue"/>
            <w:vAlign w:val="center"/>
          </w:tcPr>
          <w:p>
            <w:pPr>
              <w:widowControl/>
              <w:jc w:val="left"/>
              <w:rPr>
                <w:rFonts w:ascii="宋体" w:hAnsi="宋体" w:cs="宋体"/>
                <w:bCs/>
                <w:szCs w:val="21"/>
              </w:rPr>
            </w:pPr>
          </w:p>
        </w:tc>
        <w:tc>
          <w:tcPr>
            <w:tcW w:w="5986" w:type="dxa"/>
          </w:tcPr>
          <w:p>
            <w:pPr>
              <w:widowControl/>
              <w:jc w:val="left"/>
              <w:rPr>
                <w:rFonts w:ascii="宋体" w:hAnsi="宋体" w:cs="宋体"/>
                <w:color w:val="000000"/>
                <w:kern w:val="0"/>
                <w:szCs w:val="21"/>
              </w:rPr>
            </w:pPr>
            <w:r>
              <w:rPr>
                <w:rFonts w:hint="eastAsia" w:ascii="宋体" w:hAnsi="宋体" w:cs="宋体"/>
                <w:color w:val="000000"/>
                <w:kern w:val="0"/>
                <w:szCs w:val="21"/>
              </w:rPr>
              <w:t>11.</w:t>
            </w:r>
            <w:r>
              <w:rPr>
                <w:rFonts w:hint="eastAsia" w:ascii="宋体" w:hAnsi="宋体" w:cs="宋体"/>
                <w:b/>
                <w:bCs/>
                <w:color w:val="000000"/>
                <w:kern w:val="0"/>
                <w:szCs w:val="21"/>
              </w:rPr>
              <w:t>▲投标人所投产品应获得国家知识产权管理部门颁发的《消费管理系统》软件著作权证书,提供证书复印件并加盖投标人公章。。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0" w:type="dxa"/>
            <w:vAlign w:val="center"/>
          </w:tcPr>
          <w:p>
            <w:pPr>
              <w:widowControl/>
              <w:jc w:val="center"/>
              <w:rPr>
                <w:rFonts w:ascii="宋体" w:hAnsi="宋体" w:cs="宋体"/>
                <w:bCs/>
                <w:szCs w:val="21"/>
              </w:rPr>
            </w:pPr>
            <w:r>
              <w:rPr>
                <w:rFonts w:hint="eastAsia" w:ascii="宋体" w:hAnsi="宋体" w:cs="宋体"/>
                <w:color w:val="000000"/>
                <w:kern w:val="0"/>
                <w:szCs w:val="21"/>
              </w:rPr>
              <w:t>15</w:t>
            </w:r>
          </w:p>
        </w:tc>
        <w:tc>
          <w:tcPr>
            <w:tcW w:w="1476" w:type="dxa"/>
            <w:vAlign w:val="center"/>
          </w:tcPr>
          <w:p>
            <w:pPr>
              <w:widowControl/>
              <w:jc w:val="left"/>
              <w:rPr>
                <w:rFonts w:ascii="宋体" w:hAnsi="宋体" w:cs="宋体"/>
                <w:bCs/>
                <w:szCs w:val="21"/>
              </w:rPr>
            </w:pPr>
            <w:r>
              <w:rPr>
                <w:rFonts w:hint="eastAsia" w:ascii="宋体" w:hAnsi="宋体" w:cs="宋体"/>
                <w:color w:val="000000"/>
                <w:kern w:val="0"/>
                <w:szCs w:val="21"/>
              </w:rPr>
              <w:t>安装和调试费</w:t>
            </w:r>
          </w:p>
        </w:tc>
        <w:tc>
          <w:tcPr>
            <w:tcW w:w="5986" w:type="dxa"/>
          </w:tcPr>
          <w:p>
            <w:pPr>
              <w:pStyle w:val="25"/>
              <w:widowControl/>
              <w:numPr>
                <w:ilvl w:val="0"/>
                <w:numId w:val="4"/>
              </w:numPr>
              <w:ind w:left="234" w:hanging="234" w:firstLineChars="0"/>
              <w:jc w:val="left"/>
              <w:rPr>
                <w:rFonts w:ascii="宋体" w:hAnsi="宋体" w:cs="宋体"/>
                <w:color w:val="000000"/>
                <w:kern w:val="0"/>
                <w:szCs w:val="21"/>
              </w:rPr>
            </w:pPr>
            <w:r>
              <w:rPr>
                <w:rFonts w:hint="eastAsia" w:ascii="宋体" w:hAnsi="宋体" w:cs="宋体"/>
                <w:color w:val="000000"/>
                <w:kern w:val="0"/>
                <w:szCs w:val="21"/>
              </w:rPr>
              <w:t>本次招标软件产品的部署、调试；</w:t>
            </w:r>
          </w:p>
          <w:p>
            <w:pPr>
              <w:pStyle w:val="25"/>
              <w:widowControl/>
              <w:numPr>
                <w:ilvl w:val="0"/>
                <w:numId w:val="4"/>
              </w:numPr>
              <w:ind w:left="234" w:hanging="234" w:firstLineChars="0"/>
              <w:jc w:val="left"/>
              <w:rPr>
                <w:rFonts w:ascii="宋体" w:hAnsi="宋体" w:cs="宋体"/>
                <w:color w:val="000000"/>
                <w:kern w:val="0"/>
                <w:szCs w:val="21"/>
              </w:rPr>
            </w:pPr>
            <w:r>
              <w:rPr>
                <w:rFonts w:hint="eastAsia" w:ascii="宋体" w:hAnsi="宋体" w:cs="宋体"/>
                <w:color w:val="000000"/>
                <w:kern w:val="0"/>
                <w:szCs w:val="21"/>
              </w:rPr>
              <w:t>集成兼容学校现有消费机、门禁机、发卡器、大门通道、自助终端、自动制卡终端、售货机、超市收银终端等全部一卡通相关硬件设备；</w:t>
            </w:r>
          </w:p>
          <w:p>
            <w:pPr>
              <w:pStyle w:val="25"/>
              <w:widowControl/>
              <w:numPr>
                <w:ilvl w:val="0"/>
                <w:numId w:val="4"/>
              </w:numPr>
              <w:ind w:left="234" w:hanging="234" w:firstLineChars="0"/>
              <w:jc w:val="left"/>
              <w:rPr>
                <w:rFonts w:ascii="宋体" w:hAnsi="宋体" w:cs="宋体"/>
                <w:color w:val="000000"/>
                <w:kern w:val="0"/>
                <w:szCs w:val="21"/>
              </w:rPr>
            </w:pPr>
            <w:r>
              <w:rPr>
                <w:rFonts w:hint="eastAsia" w:ascii="宋体" w:hAnsi="宋体" w:cs="宋体"/>
                <w:color w:val="000000"/>
                <w:kern w:val="0"/>
                <w:szCs w:val="21"/>
              </w:rPr>
              <w:t>与其他已对接第三方系统的对接，如图书馆系统等。</w:t>
            </w:r>
          </w:p>
        </w:tc>
      </w:tr>
    </w:tbl>
    <w:p>
      <w:pPr>
        <w:ind w:firstLine="420" w:firstLineChars="200"/>
        <w:rPr>
          <w:bCs/>
          <w:szCs w:val="21"/>
        </w:rPr>
      </w:pPr>
      <w:r>
        <w:rPr>
          <w:rFonts w:hint="eastAsia" w:ascii="宋体" w:hAnsi="宋体" w:cs="宋体"/>
          <w:bCs/>
        </w:rPr>
        <w:t>备注：</w:t>
      </w:r>
      <w:r>
        <w:rPr>
          <w:rFonts w:hint="eastAsia"/>
          <w:bCs/>
          <w:szCs w:val="21"/>
        </w:rPr>
        <w:t>1．带“</w:t>
      </w:r>
      <w:r>
        <w:rPr>
          <w:rFonts w:hint="eastAsia" w:ascii="宋体" w:hAnsi="宋体" w:cs="宋体"/>
          <w:bCs/>
          <w:szCs w:val="21"/>
        </w:rPr>
        <w:t>★</w:t>
      </w:r>
      <w:r>
        <w:rPr>
          <w:rFonts w:hint="eastAsia"/>
          <w:bCs/>
          <w:szCs w:val="21"/>
        </w:rPr>
        <w:t>”指标项为实质性条款，如出现负偏离，将被视为未实质性满足招标文件要求作投标无效处理。带“</w:t>
      </w:r>
      <w:r>
        <w:rPr>
          <w:bCs/>
        </w:rPr>
        <w:t>▲</w:t>
      </w:r>
      <w:r>
        <w:rPr>
          <w:rFonts w:hint="eastAsia"/>
          <w:bCs/>
          <w:szCs w:val="21"/>
        </w:rPr>
        <w:t>”指标项为重要参数，负偏离时依相关评分准则内容作重点扣分处理。</w:t>
      </w:r>
    </w:p>
    <w:p>
      <w:pPr>
        <w:ind w:firstLine="420" w:firstLineChars="200"/>
        <w:rPr>
          <w:rFonts w:ascii="宋体" w:hAnsi="宋体" w:cs="宋体"/>
          <w:bCs/>
        </w:rPr>
      </w:pPr>
      <w:r>
        <w:rPr>
          <w:rFonts w:hint="eastAsia"/>
          <w:bCs/>
        </w:rPr>
        <w:t>2．评分时，如对一项招标技术要求中的内容存在两处（或以上）负偏离的，在评分时只作一项负偏离扣分</w:t>
      </w:r>
      <w:r>
        <w:rPr>
          <w:rFonts w:hint="eastAsia" w:ascii="宋体" w:hAnsi="宋体" w:cs="宋体"/>
          <w:bCs/>
        </w:rPr>
        <w:t>。</w:t>
      </w:r>
    </w:p>
    <w:p>
      <w:pPr>
        <w:pStyle w:val="10"/>
        <w:ind w:firstLine="422"/>
        <w:rPr>
          <w:rFonts w:ascii="宋体" w:hAnsi="宋体" w:cs="宋体"/>
          <w:b/>
        </w:rPr>
      </w:pPr>
    </w:p>
    <w:p>
      <w:pPr>
        <w:pStyle w:val="6"/>
        <w:spacing w:before="156" w:beforeLines="50" w:after="156" w:afterLines="50"/>
        <w:rPr>
          <w:rFonts w:cs="宋体"/>
          <w:szCs w:val="28"/>
        </w:rPr>
      </w:pPr>
      <w:r>
        <w:rPr>
          <w:rFonts w:hint="eastAsia" w:cs="宋体"/>
          <w:szCs w:val="28"/>
        </w:rPr>
        <w:t>四、商务需求</w:t>
      </w:r>
    </w:p>
    <w:tbl>
      <w:tblPr>
        <w:tblStyle w:val="14"/>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Align w:val="center"/>
          </w:tcPr>
          <w:p>
            <w:pPr>
              <w:jc w:val="center"/>
              <w:rPr>
                <w:rFonts w:ascii="宋体" w:hAnsi="宋体" w:cs="宋体"/>
                <w:b/>
              </w:rPr>
            </w:pPr>
            <w:r>
              <w:rPr>
                <w:rFonts w:hint="eastAsia" w:ascii="宋体" w:hAnsi="宋体" w:cs="宋体"/>
                <w:b/>
              </w:rPr>
              <w:t>序号</w:t>
            </w:r>
          </w:p>
        </w:tc>
        <w:tc>
          <w:tcPr>
            <w:tcW w:w="1559" w:type="dxa"/>
            <w:vAlign w:val="center"/>
          </w:tcPr>
          <w:p>
            <w:pPr>
              <w:jc w:val="center"/>
              <w:rPr>
                <w:rFonts w:ascii="宋体" w:hAnsi="宋体" w:cs="宋体"/>
                <w:b/>
              </w:rPr>
            </w:pPr>
            <w:r>
              <w:rPr>
                <w:rFonts w:hint="eastAsia" w:ascii="宋体" w:hAnsi="宋体" w:cs="宋体"/>
                <w:b/>
              </w:rPr>
              <w:t>目录</w:t>
            </w:r>
          </w:p>
        </w:tc>
        <w:tc>
          <w:tcPr>
            <w:tcW w:w="6158" w:type="dxa"/>
            <w:vAlign w:val="center"/>
          </w:tcPr>
          <w:p>
            <w:pPr>
              <w:jc w:val="center"/>
              <w:rPr>
                <w:rFonts w:ascii="宋体" w:hAnsi="宋体" w:cs="宋体"/>
                <w:b/>
              </w:rPr>
            </w:pPr>
            <w:r>
              <w:rPr>
                <w:rFonts w:hint="eastAsia" w:ascii="宋体" w:hAnsi="宋体" w:cs="宋体"/>
                <w:b/>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709" w:type="dxa"/>
            <w:vAlign w:val="center"/>
          </w:tcPr>
          <w:p>
            <w:pPr>
              <w:numPr>
                <w:ilvl w:val="0"/>
                <w:numId w:val="5"/>
              </w:numPr>
              <w:jc w:val="center"/>
              <w:rPr>
                <w:rFonts w:ascii="仿宋_GB2312" w:hAnsi="仿宋_GB2312" w:eastAsia="仿宋_GB2312" w:cs="仿宋_GB2312"/>
              </w:rPr>
            </w:pPr>
          </w:p>
        </w:tc>
        <w:tc>
          <w:tcPr>
            <w:tcW w:w="1559" w:type="dxa"/>
            <w:vAlign w:val="center"/>
          </w:tcPr>
          <w:p>
            <w:pPr>
              <w:rPr>
                <w:rFonts w:ascii="宋体" w:hAnsi="宋体" w:cs="宋体"/>
              </w:rPr>
            </w:pPr>
            <w:r>
              <w:rPr>
                <w:rFonts w:hint="eastAsia" w:ascii="宋体" w:hAnsi="宋体" w:cs="宋体"/>
              </w:rPr>
              <w:t>免费保修期</w:t>
            </w:r>
          </w:p>
        </w:tc>
        <w:tc>
          <w:tcPr>
            <w:tcW w:w="6158" w:type="dxa"/>
          </w:tcPr>
          <w:p>
            <w:pPr>
              <w:rPr>
                <w:rFonts w:ascii="宋体" w:hAnsi="宋体" w:cs="宋体"/>
              </w:rPr>
            </w:pPr>
            <w:r>
              <w:rPr>
                <w:rFonts w:hint="eastAsia" w:ascii="宋体" w:hAnsi="宋体" w:cs="宋体"/>
              </w:rPr>
              <w:t>货物免费保修期三年，时间自最终验收合格并交付使用之日起计算。在质保期内，免费维修与更换所有零配件。中标人需每年定期免费提供软件升级及硬件维护等服务。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709" w:type="dxa"/>
            <w:vMerge w:val="restart"/>
            <w:vAlign w:val="center"/>
          </w:tcPr>
          <w:p>
            <w:pPr>
              <w:numPr>
                <w:ilvl w:val="0"/>
                <w:numId w:val="5"/>
              </w:numPr>
              <w:jc w:val="center"/>
              <w:rPr>
                <w:rFonts w:ascii="仿宋_GB2312" w:hAnsi="仿宋_GB2312" w:eastAsia="仿宋_GB2312" w:cs="仿宋_GB2312"/>
              </w:rPr>
            </w:pPr>
          </w:p>
        </w:tc>
        <w:tc>
          <w:tcPr>
            <w:tcW w:w="1559" w:type="dxa"/>
            <w:vMerge w:val="restart"/>
            <w:vAlign w:val="center"/>
          </w:tcPr>
          <w:p>
            <w:pPr>
              <w:rPr>
                <w:rFonts w:ascii="宋体" w:hAnsi="宋体" w:cs="宋体"/>
              </w:rPr>
            </w:pPr>
            <w:r>
              <w:rPr>
                <w:rFonts w:hint="eastAsia" w:ascii="宋体" w:hAnsi="宋体" w:cs="宋体"/>
              </w:rPr>
              <w:t>维修响应及故障解决时间</w:t>
            </w:r>
          </w:p>
        </w:tc>
        <w:tc>
          <w:tcPr>
            <w:tcW w:w="6158" w:type="dxa"/>
          </w:tcPr>
          <w:p>
            <w:pPr>
              <w:rPr>
                <w:rFonts w:ascii="宋体" w:hAnsi="宋体" w:cs="宋体"/>
              </w:rPr>
            </w:pPr>
            <w:r>
              <w:rPr>
                <w:rFonts w:hint="eastAsia" w:ascii="宋体" w:hAnsi="宋体" w:cs="宋体"/>
              </w:rPr>
              <w:t>在保修期内，一旦发生质量问题，投标人保证在接到通知24小时内赶到现场进行修理或更换。因维修不及时，而导致设备无法正常使用时，其保修时间随停机时间的长短而相应延长。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709" w:type="dxa"/>
            <w:vMerge w:val="continue"/>
            <w:vAlign w:val="center"/>
          </w:tcPr>
          <w:p>
            <w:pPr>
              <w:jc w:val="center"/>
              <w:rPr>
                <w:rFonts w:ascii="仿宋_GB2312" w:hAnsi="仿宋_GB2312" w:eastAsia="仿宋_GB2312" w:cs="仿宋_GB2312"/>
              </w:rPr>
            </w:pPr>
          </w:p>
        </w:tc>
        <w:tc>
          <w:tcPr>
            <w:tcW w:w="1559" w:type="dxa"/>
            <w:vMerge w:val="continue"/>
            <w:vAlign w:val="center"/>
          </w:tcPr>
          <w:p>
            <w:pPr>
              <w:rPr>
                <w:rFonts w:ascii="宋体" w:hAnsi="宋体" w:cs="宋体"/>
              </w:rPr>
            </w:pPr>
          </w:p>
        </w:tc>
        <w:tc>
          <w:tcPr>
            <w:tcW w:w="6158" w:type="dxa"/>
          </w:tcPr>
          <w:p>
            <w:pPr>
              <w:rPr>
                <w:rFonts w:ascii="宋体" w:hAnsi="宋体" w:cs="宋体"/>
              </w:rPr>
            </w:pPr>
            <w:r>
              <w:rPr>
                <w:rFonts w:hint="eastAsia" w:ascii="宋体" w:hAnsi="宋体" w:cs="宋体"/>
              </w:rPr>
              <w:t>一般故障：到达现场时间：&lt;=8小时。</w:t>
            </w:r>
          </w:p>
          <w:p>
            <w:pPr>
              <w:rPr>
                <w:rFonts w:ascii="宋体" w:hAnsi="宋体" w:cs="宋体"/>
              </w:rPr>
            </w:pPr>
            <w:r>
              <w:rPr>
                <w:rFonts w:hint="eastAsia" w:ascii="宋体" w:hAnsi="宋体" w:cs="宋体"/>
              </w:rPr>
              <w:t>重大故障：到达现场时间：&lt;=4小时。</w:t>
            </w:r>
          </w:p>
          <w:p>
            <w:pPr>
              <w:rPr>
                <w:rFonts w:ascii="宋体" w:hAnsi="宋体" w:cs="宋体"/>
              </w:rPr>
            </w:pPr>
            <w:r>
              <w:rPr>
                <w:rFonts w:hint="eastAsia" w:ascii="宋体" w:hAnsi="宋体" w:cs="宋体"/>
              </w:rPr>
              <w:t>系统故障：到达现场时间：&lt;=2小时。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restart"/>
            <w:vAlign w:val="center"/>
          </w:tcPr>
          <w:p>
            <w:pPr>
              <w:numPr>
                <w:ilvl w:val="0"/>
                <w:numId w:val="5"/>
              </w:numPr>
              <w:jc w:val="center"/>
              <w:rPr>
                <w:rFonts w:ascii="仿宋_GB2312" w:hAnsi="仿宋_GB2312" w:eastAsia="仿宋_GB2312" w:cs="仿宋_GB2312"/>
              </w:rPr>
            </w:pPr>
          </w:p>
        </w:tc>
        <w:tc>
          <w:tcPr>
            <w:tcW w:w="1559" w:type="dxa"/>
            <w:vMerge w:val="restart"/>
            <w:vAlign w:val="center"/>
          </w:tcPr>
          <w:p>
            <w:pPr>
              <w:rPr>
                <w:rFonts w:ascii="宋体" w:hAnsi="宋体" w:cs="宋体"/>
              </w:rPr>
            </w:pPr>
            <w:r>
              <w:rPr>
                <w:rFonts w:hint="eastAsia" w:ascii="宋体" w:hAnsi="宋体" w:cs="宋体"/>
              </w:rPr>
              <w:t>技术支持与保障</w:t>
            </w:r>
          </w:p>
        </w:tc>
        <w:tc>
          <w:tcPr>
            <w:tcW w:w="6158" w:type="dxa"/>
          </w:tcPr>
          <w:p>
            <w:pPr>
              <w:rPr>
                <w:rFonts w:ascii="宋体" w:hAnsi="宋体" w:cs="宋体"/>
              </w:rPr>
            </w:pPr>
            <w:r>
              <w:rPr>
                <w:rFonts w:hint="eastAsia" w:ascii="宋体" w:hAnsi="宋体" w:cs="宋体"/>
              </w:rPr>
              <w:t>1.提供7×24小时的技术支持服务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continue"/>
            <w:vAlign w:val="center"/>
          </w:tcPr>
          <w:p>
            <w:pPr>
              <w:jc w:val="center"/>
              <w:rPr>
                <w:rFonts w:ascii="仿宋_GB2312" w:hAnsi="仿宋_GB2312" w:eastAsia="仿宋_GB2312" w:cs="仿宋_GB2312"/>
              </w:rPr>
            </w:pPr>
          </w:p>
        </w:tc>
        <w:tc>
          <w:tcPr>
            <w:tcW w:w="1559" w:type="dxa"/>
            <w:vMerge w:val="continue"/>
            <w:vAlign w:val="center"/>
          </w:tcPr>
          <w:p>
            <w:pPr>
              <w:rPr>
                <w:rFonts w:ascii="宋体" w:hAnsi="宋体" w:cs="宋体"/>
              </w:rPr>
            </w:pPr>
          </w:p>
        </w:tc>
        <w:tc>
          <w:tcPr>
            <w:tcW w:w="6158" w:type="dxa"/>
          </w:tcPr>
          <w:p>
            <w:pPr>
              <w:rPr>
                <w:rFonts w:ascii="宋体" w:hAnsi="宋体" w:cs="宋体"/>
              </w:rPr>
            </w:pPr>
            <w:r>
              <w:rPr>
                <w:rFonts w:hint="eastAsia" w:ascii="宋体" w:hAnsi="宋体" w:cs="宋体"/>
              </w:rPr>
              <w:t>2.提供定期巡视服务，检测设备运行情况、清洁设备并做好运行记录。使它们保持良好的运行状态，每月、每季度、每年定期对系统提供回访服务。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continue"/>
            <w:vAlign w:val="center"/>
          </w:tcPr>
          <w:p>
            <w:pPr>
              <w:jc w:val="center"/>
              <w:rPr>
                <w:rFonts w:ascii="仿宋_GB2312" w:hAnsi="仿宋_GB2312" w:eastAsia="仿宋_GB2312" w:cs="仿宋_GB2312"/>
              </w:rPr>
            </w:pPr>
          </w:p>
        </w:tc>
        <w:tc>
          <w:tcPr>
            <w:tcW w:w="1559" w:type="dxa"/>
            <w:vMerge w:val="continue"/>
            <w:vAlign w:val="center"/>
          </w:tcPr>
          <w:p>
            <w:pPr>
              <w:rPr>
                <w:rFonts w:ascii="宋体" w:hAnsi="宋体" w:cs="宋体"/>
              </w:rPr>
            </w:pPr>
          </w:p>
        </w:tc>
        <w:tc>
          <w:tcPr>
            <w:tcW w:w="6158" w:type="dxa"/>
          </w:tcPr>
          <w:p>
            <w:pPr>
              <w:rPr>
                <w:rFonts w:ascii="宋体" w:hAnsi="宋体" w:cs="宋体"/>
              </w:rPr>
            </w:pPr>
            <w:r>
              <w:rPr>
                <w:rFonts w:hint="eastAsia" w:ascii="宋体" w:hAnsi="宋体" w:cs="宋体"/>
              </w:rPr>
              <w:t>3.在敏感时期、重大活动日如新生入学等时期提供技术人员专门值守。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continue"/>
            <w:vAlign w:val="center"/>
          </w:tcPr>
          <w:p>
            <w:pPr>
              <w:jc w:val="center"/>
              <w:rPr>
                <w:rFonts w:ascii="仿宋_GB2312" w:hAnsi="仿宋_GB2312" w:eastAsia="仿宋_GB2312" w:cs="仿宋_GB2312"/>
              </w:rPr>
            </w:pPr>
          </w:p>
        </w:tc>
        <w:tc>
          <w:tcPr>
            <w:tcW w:w="1559" w:type="dxa"/>
            <w:vMerge w:val="continue"/>
            <w:vAlign w:val="center"/>
          </w:tcPr>
          <w:p>
            <w:pPr>
              <w:rPr>
                <w:rFonts w:ascii="宋体" w:hAnsi="宋体" w:cs="宋体"/>
              </w:rPr>
            </w:pPr>
          </w:p>
        </w:tc>
        <w:tc>
          <w:tcPr>
            <w:tcW w:w="6158" w:type="dxa"/>
          </w:tcPr>
          <w:p>
            <w:pPr>
              <w:rPr>
                <w:rFonts w:ascii="宋体" w:hAnsi="宋体" w:cs="宋体"/>
              </w:rPr>
            </w:pPr>
            <w:r>
              <w:rPr>
                <w:rFonts w:hint="eastAsia" w:ascii="宋体" w:hAnsi="宋体" w:cs="宋体"/>
              </w:rPr>
              <w:t>4.提供每月2-3次巡视服务，检测设备运行情况、清洁设备并做好运行记录。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Align w:val="center"/>
          </w:tcPr>
          <w:p>
            <w:pPr>
              <w:numPr>
                <w:ilvl w:val="0"/>
                <w:numId w:val="5"/>
              </w:numPr>
              <w:jc w:val="center"/>
              <w:rPr>
                <w:rFonts w:ascii="仿宋_GB2312" w:hAnsi="仿宋_GB2312" w:eastAsia="仿宋_GB2312" w:cs="仿宋_GB2312"/>
              </w:rPr>
            </w:pPr>
          </w:p>
        </w:tc>
        <w:tc>
          <w:tcPr>
            <w:tcW w:w="1559" w:type="dxa"/>
            <w:vAlign w:val="center"/>
          </w:tcPr>
          <w:p>
            <w:pPr>
              <w:rPr>
                <w:rFonts w:ascii="宋体" w:hAnsi="宋体" w:cs="宋体"/>
              </w:rPr>
            </w:pPr>
            <w:r>
              <w:rPr>
                <w:rFonts w:hint="eastAsia" w:ascii="宋体" w:hAnsi="宋体" w:cs="宋体"/>
              </w:rPr>
              <w:t>★演示要求</w:t>
            </w:r>
          </w:p>
        </w:tc>
        <w:tc>
          <w:tcPr>
            <w:tcW w:w="6158" w:type="dxa"/>
            <w:vAlign w:val="center"/>
          </w:tcPr>
          <w:p>
            <w:pPr>
              <w:rPr>
                <w:rFonts w:ascii="宋体" w:hAnsi="宋体" w:cs="宋体"/>
              </w:rPr>
            </w:pPr>
            <w:r>
              <w:rPr>
                <w:rFonts w:hint="eastAsia" w:ascii="宋体" w:hAnsi="宋体" w:cs="宋体"/>
              </w:rPr>
              <w:t>根据招标评选情况，采购人有权要求投标人对“技术参数要求”里面的所有内容进行演示，如投标人未能完成“技术参数要求”里面描述的内容演示采购人有权按实际演示情况扣分或者作废标处理。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Align w:val="center"/>
          </w:tcPr>
          <w:p>
            <w:pPr>
              <w:numPr>
                <w:ilvl w:val="0"/>
                <w:numId w:val="5"/>
              </w:numPr>
              <w:jc w:val="center"/>
              <w:rPr>
                <w:rFonts w:ascii="仿宋_GB2312" w:hAnsi="仿宋_GB2312" w:eastAsia="仿宋_GB2312" w:cs="仿宋_GB2312"/>
              </w:rPr>
            </w:pPr>
          </w:p>
        </w:tc>
        <w:tc>
          <w:tcPr>
            <w:tcW w:w="1559" w:type="dxa"/>
            <w:vAlign w:val="center"/>
          </w:tcPr>
          <w:p>
            <w:pPr>
              <w:rPr>
                <w:rFonts w:ascii="宋体" w:hAnsi="宋体" w:cs="宋体"/>
              </w:rPr>
            </w:pPr>
            <w:r>
              <w:rPr>
                <w:rFonts w:hint="eastAsia" w:ascii="宋体" w:hAnsi="宋体" w:cs="宋体"/>
              </w:rPr>
              <w:t>故障预案与维保细则</w:t>
            </w:r>
          </w:p>
        </w:tc>
        <w:tc>
          <w:tcPr>
            <w:tcW w:w="6158" w:type="dxa"/>
            <w:vAlign w:val="center"/>
          </w:tcPr>
          <w:p>
            <w:pPr>
              <w:rPr>
                <w:rFonts w:ascii="宋体" w:hAnsi="宋体" w:cs="宋体"/>
              </w:rPr>
            </w:pPr>
            <w:r>
              <w:rPr>
                <w:rFonts w:hint="eastAsia" w:ascii="宋体" w:hAnsi="宋体" w:cs="宋体"/>
              </w:rPr>
              <w:t>协助学校制定系统故障预案及维保细则。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Align w:val="center"/>
          </w:tcPr>
          <w:p>
            <w:pPr>
              <w:numPr>
                <w:ilvl w:val="0"/>
                <w:numId w:val="5"/>
              </w:numPr>
              <w:jc w:val="center"/>
              <w:rPr>
                <w:rFonts w:ascii="仿宋_GB2312" w:hAnsi="仿宋_GB2312" w:eastAsia="仿宋_GB2312" w:cs="仿宋_GB2312"/>
              </w:rPr>
            </w:pPr>
          </w:p>
        </w:tc>
        <w:tc>
          <w:tcPr>
            <w:tcW w:w="1559" w:type="dxa"/>
            <w:vAlign w:val="center"/>
          </w:tcPr>
          <w:p>
            <w:pPr>
              <w:rPr>
                <w:rFonts w:ascii="宋体" w:hAnsi="宋体" w:cs="宋体"/>
              </w:rPr>
            </w:pPr>
            <w:r>
              <w:rPr>
                <w:rFonts w:hint="eastAsia" w:ascii="宋体" w:hAnsi="宋体" w:cs="宋体"/>
              </w:rPr>
              <w:t>其他</w:t>
            </w:r>
          </w:p>
        </w:tc>
        <w:tc>
          <w:tcPr>
            <w:tcW w:w="6158" w:type="dxa"/>
            <w:vAlign w:val="center"/>
          </w:tcPr>
          <w:p>
            <w:pPr>
              <w:rPr>
                <w:rFonts w:ascii="宋体" w:hAnsi="宋体" w:cs="宋体"/>
              </w:rPr>
            </w:pPr>
            <w:r>
              <w:rPr>
                <w:rFonts w:hint="eastAsia" w:ascii="宋体" w:hAnsi="宋体" w:cs="宋体"/>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restart"/>
            <w:vAlign w:val="center"/>
          </w:tcPr>
          <w:p>
            <w:pPr>
              <w:numPr>
                <w:ilvl w:val="0"/>
                <w:numId w:val="5"/>
              </w:numPr>
              <w:jc w:val="center"/>
              <w:rPr>
                <w:rFonts w:ascii="仿宋_GB2312" w:hAnsi="仿宋_GB2312" w:eastAsia="仿宋_GB2312" w:cs="仿宋_GB2312"/>
              </w:rPr>
            </w:pPr>
          </w:p>
        </w:tc>
        <w:tc>
          <w:tcPr>
            <w:tcW w:w="1559" w:type="dxa"/>
            <w:vMerge w:val="restart"/>
            <w:vAlign w:val="center"/>
          </w:tcPr>
          <w:p>
            <w:pPr>
              <w:rPr>
                <w:rFonts w:ascii="宋体" w:hAnsi="宋体" w:cs="宋体"/>
              </w:rPr>
            </w:pPr>
            <w:r>
              <w:rPr>
                <w:rFonts w:hint="eastAsia" w:ascii="宋体" w:hAnsi="宋体" w:cs="宋体"/>
              </w:rPr>
              <w:t>★关于交货</w:t>
            </w:r>
          </w:p>
        </w:tc>
        <w:tc>
          <w:tcPr>
            <w:tcW w:w="6158" w:type="dxa"/>
          </w:tcPr>
          <w:p>
            <w:pPr>
              <w:rPr>
                <w:rFonts w:ascii="宋体" w:hAnsi="宋体" w:cs="宋体"/>
              </w:rPr>
            </w:pPr>
            <w:r>
              <w:rPr>
                <w:rFonts w:hint="eastAsia" w:ascii="宋体" w:hAnsi="宋体" w:cs="宋体"/>
              </w:rPr>
              <w:t>1.签订合同之日起15天（日历日）内。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09" w:type="dxa"/>
            <w:vMerge w:val="continue"/>
            <w:vAlign w:val="center"/>
          </w:tcPr>
          <w:p>
            <w:pPr>
              <w:jc w:val="center"/>
              <w:rPr>
                <w:rFonts w:ascii="仿宋_GB2312" w:hAnsi="仿宋_GB2312" w:eastAsia="仿宋_GB2312" w:cs="仿宋_GB2312"/>
              </w:rPr>
            </w:pPr>
          </w:p>
        </w:tc>
        <w:tc>
          <w:tcPr>
            <w:tcW w:w="1559" w:type="dxa"/>
            <w:vMerge w:val="continue"/>
            <w:vAlign w:val="center"/>
          </w:tcPr>
          <w:p>
            <w:pPr>
              <w:rPr>
                <w:rFonts w:ascii="宋体" w:hAnsi="宋体" w:cs="宋体"/>
              </w:rPr>
            </w:pPr>
          </w:p>
        </w:tc>
        <w:tc>
          <w:tcPr>
            <w:tcW w:w="6158" w:type="dxa"/>
          </w:tcPr>
          <w:p>
            <w:pPr>
              <w:rPr>
                <w:rFonts w:ascii="宋体" w:hAnsi="宋体" w:cs="宋体"/>
              </w:rPr>
            </w:pPr>
            <w:r>
              <w:rPr>
                <w:rFonts w:hint="eastAsia" w:ascii="宋体" w:hAnsi="宋体" w:cs="宋体"/>
              </w:rPr>
              <w:t>2.投标人必须承担的货物运输、安装调试、验收检测和提供货物操作说明书、图纸等其他类似的义务。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restart"/>
            <w:vAlign w:val="center"/>
          </w:tcPr>
          <w:p>
            <w:pPr>
              <w:numPr>
                <w:ilvl w:val="0"/>
                <w:numId w:val="5"/>
              </w:numPr>
              <w:jc w:val="center"/>
              <w:rPr>
                <w:rFonts w:ascii="仿宋_GB2312" w:hAnsi="仿宋_GB2312" w:eastAsia="仿宋_GB2312" w:cs="仿宋_GB2312"/>
              </w:rPr>
            </w:pPr>
          </w:p>
        </w:tc>
        <w:tc>
          <w:tcPr>
            <w:tcW w:w="1559" w:type="dxa"/>
            <w:vMerge w:val="restart"/>
            <w:vAlign w:val="center"/>
          </w:tcPr>
          <w:p>
            <w:pPr>
              <w:rPr>
                <w:rFonts w:ascii="宋体" w:hAnsi="宋体" w:cs="宋体"/>
              </w:rPr>
            </w:pPr>
            <w:r>
              <w:rPr>
                <w:rFonts w:hint="eastAsia" w:ascii="宋体" w:hAnsi="宋体" w:cs="宋体"/>
              </w:rPr>
              <w:t>关于验收</w:t>
            </w:r>
          </w:p>
        </w:tc>
        <w:tc>
          <w:tcPr>
            <w:tcW w:w="6158" w:type="dxa"/>
          </w:tcPr>
          <w:p>
            <w:pPr>
              <w:rPr>
                <w:rFonts w:ascii="宋体" w:hAnsi="宋体" w:cs="宋体"/>
              </w:rPr>
            </w:pPr>
            <w:r>
              <w:rPr>
                <w:rFonts w:hint="eastAsia" w:ascii="宋体" w:hAnsi="宋体" w:cs="宋体"/>
              </w:rPr>
              <w:t>1.投标人货物经过双方检验认可后，签署验收报告，产品保修期自验收合格之日起算。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Merge w:val="continue"/>
            <w:vAlign w:val="center"/>
          </w:tcPr>
          <w:p>
            <w:pPr>
              <w:jc w:val="center"/>
              <w:rPr>
                <w:rFonts w:ascii="仿宋_GB2312" w:hAnsi="仿宋_GB2312" w:eastAsia="仿宋_GB2312" w:cs="仿宋_GB2312"/>
              </w:rPr>
            </w:pPr>
          </w:p>
        </w:tc>
        <w:tc>
          <w:tcPr>
            <w:tcW w:w="1559" w:type="dxa"/>
            <w:vMerge w:val="continue"/>
          </w:tcPr>
          <w:p>
            <w:pPr>
              <w:rPr>
                <w:rFonts w:ascii="宋体" w:hAnsi="宋体" w:cs="宋体"/>
              </w:rPr>
            </w:pPr>
          </w:p>
        </w:tc>
        <w:tc>
          <w:tcPr>
            <w:tcW w:w="6158" w:type="dxa"/>
          </w:tcPr>
          <w:p>
            <w:pPr>
              <w:rPr>
                <w:rFonts w:ascii="宋体" w:hAnsi="宋体" w:cs="宋体"/>
              </w:rPr>
            </w:pPr>
            <w:r>
              <w:rPr>
                <w:rFonts w:hint="eastAsia" w:ascii="宋体" w:hAnsi="宋体" w:cs="宋体"/>
              </w:rPr>
              <w:t>2.当满足以下条件时，采购人才向中标人签发货物验收报告：</w:t>
            </w:r>
          </w:p>
          <w:p>
            <w:pPr>
              <w:rPr>
                <w:rFonts w:ascii="宋体" w:hAnsi="宋体" w:cs="宋体"/>
              </w:rPr>
            </w:pPr>
            <w:r>
              <w:rPr>
                <w:rFonts w:hint="eastAsia" w:ascii="宋体" w:hAnsi="宋体" w:cs="宋体"/>
              </w:rPr>
              <w:t>a、中标人已按照合同规定提供了全部产品及完整的技术资料。</w:t>
            </w:r>
          </w:p>
          <w:p>
            <w:pPr>
              <w:rPr>
                <w:rFonts w:ascii="宋体" w:hAnsi="宋体" w:cs="宋体"/>
              </w:rPr>
            </w:pPr>
            <w:r>
              <w:rPr>
                <w:rFonts w:hint="eastAsia" w:ascii="宋体" w:hAnsi="宋体" w:cs="宋体"/>
              </w:rPr>
              <w:t>b、货物符合招标文件技术规格书的要求，性能满足要求。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9" w:type="dxa"/>
            <w:vAlign w:val="center"/>
          </w:tcPr>
          <w:p>
            <w:pPr>
              <w:numPr>
                <w:ilvl w:val="0"/>
                <w:numId w:val="5"/>
              </w:numPr>
              <w:jc w:val="center"/>
              <w:rPr>
                <w:rFonts w:ascii="仿宋_GB2312" w:hAnsi="仿宋_GB2312" w:eastAsia="仿宋_GB2312" w:cs="仿宋_GB2312"/>
              </w:rPr>
            </w:pPr>
          </w:p>
        </w:tc>
        <w:tc>
          <w:tcPr>
            <w:tcW w:w="1559" w:type="dxa"/>
            <w:vAlign w:val="center"/>
          </w:tcPr>
          <w:p>
            <w:pPr>
              <w:rPr>
                <w:rFonts w:ascii="宋体" w:hAnsi="宋体" w:cs="宋体"/>
              </w:rPr>
            </w:pPr>
            <w:r>
              <w:rPr>
                <w:rFonts w:hint="eastAsia" w:ascii="宋体" w:hAnsi="宋体" w:cs="宋体"/>
              </w:rPr>
              <w:t>关于付款</w:t>
            </w:r>
          </w:p>
        </w:tc>
        <w:tc>
          <w:tcPr>
            <w:tcW w:w="6158" w:type="dxa"/>
            <w:vAlign w:val="center"/>
          </w:tcPr>
          <w:p>
            <w:pPr>
              <w:rPr>
                <w:rFonts w:ascii="宋体" w:hAnsi="宋体" w:cs="宋体"/>
              </w:rPr>
            </w:pPr>
            <w:r>
              <w:rPr>
                <w:rFonts w:hint="eastAsia" w:ascii="宋体" w:hAnsi="宋体" w:cs="宋体"/>
              </w:rPr>
              <w:t>按合同约定交货、安装、调试及试运行，并经甲方组织的验收合格后，甲方在收到乙方付款申请及付款所需要的材料后15日内，甲方向乙方一次性付清合同款项。</w:t>
            </w:r>
          </w:p>
        </w:tc>
      </w:tr>
    </w:tbl>
    <w:p>
      <w:pPr>
        <w:ind w:firstLine="420" w:firstLineChars="200"/>
        <w:rPr>
          <w:bCs/>
          <w:szCs w:val="21"/>
        </w:rPr>
      </w:pPr>
      <w:r>
        <w:rPr>
          <w:rFonts w:hint="eastAsia" w:ascii="宋体" w:hAnsi="宋体" w:cs="宋体"/>
          <w:bCs/>
        </w:rPr>
        <w:t>备注：</w:t>
      </w:r>
      <w:r>
        <w:rPr>
          <w:rFonts w:hint="eastAsia"/>
          <w:bCs/>
          <w:szCs w:val="21"/>
        </w:rPr>
        <w:t>1．带“</w:t>
      </w:r>
      <w:r>
        <w:rPr>
          <w:rFonts w:hint="eastAsia" w:ascii="宋体" w:hAnsi="宋体" w:cs="宋体"/>
          <w:bCs/>
          <w:szCs w:val="21"/>
        </w:rPr>
        <w:t>★</w:t>
      </w:r>
      <w:r>
        <w:rPr>
          <w:rFonts w:hint="eastAsia"/>
          <w:bCs/>
          <w:szCs w:val="21"/>
        </w:rPr>
        <w:t>”指标项为实质性条款，如出现负偏离，将被视为未实质性满足招标文件要求作投标无效处理。带“</w:t>
      </w:r>
      <w:r>
        <w:rPr>
          <w:bCs/>
        </w:rPr>
        <w:t>▲</w:t>
      </w:r>
      <w:r>
        <w:rPr>
          <w:rFonts w:hint="eastAsia"/>
          <w:bCs/>
          <w:szCs w:val="21"/>
        </w:rPr>
        <w:t>”指标项为重要参数，负偏离时依相关评分准则内容作重点扣分处理。</w:t>
      </w:r>
    </w:p>
    <w:p>
      <w:pPr>
        <w:ind w:firstLine="420" w:firstLineChars="200"/>
        <w:rPr>
          <w:rFonts w:ascii="宋体" w:hAnsi="宋体" w:cs="宋体"/>
          <w:bCs/>
        </w:rPr>
      </w:pPr>
      <w:r>
        <w:rPr>
          <w:rFonts w:hint="eastAsia"/>
          <w:bCs/>
        </w:rPr>
        <w:t>2．评分时，如对一项招标技术要求中的内容存在两处（或以上）负偏离的，在评分时只作一项负偏离扣分</w:t>
      </w:r>
      <w:r>
        <w:rPr>
          <w:rFonts w:hint="eastAsia" w:ascii="宋体" w:hAnsi="宋体" w:cs="宋体"/>
          <w:bCs/>
        </w:rPr>
        <w:t>。</w:t>
      </w:r>
    </w:p>
    <w:p>
      <w:pPr>
        <w:pStyle w:val="10"/>
        <w:ind w:firstLine="422"/>
        <w:rPr>
          <w:rFonts w:ascii="宋体" w:hAnsi="宋体" w:cs="宋体"/>
          <w:b/>
        </w:rPr>
      </w:pPr>
    </w:p>
    <w:p>
      <w:pPr>
        <w:pStyle w:val="10"/>
        <w:ind w:firstLine="422"/>
        <w:rPr>
          <w:rFonts w:ascii="宋体" w:hAnsi="宋体" w:cs="宋体"/>
          <w:b/>
        </w:rPr>
      </w:pPr>
    </w:p>
    <w:p>
      <w:pPr>
        <w:pStyle w:val="3"/>
      </w:pPr>
      <w:r>
        <w:rPr>
          <w:rFonts w:hint="eastAsia"/>
        </w:rPr>
        <w:t>第三章投标文件格式</w:t>
      </w:r>
    </w:p>
    <w:p>
      <w:pPr>
        <w:rPr>
          <w:rStyle w:val="22"/>
          <w:rFonts w:ascii="宋体" w:hAnsi="宋体" w:eastAsia="宋体" w:cs="宋体"/>
          <w:sz w:val="28"/>
          <w:szCs w:val="28"/>
        </w:rPr>
      </w:pPr>
      <w:r>
        <w:rPr>
          <w:rStyle w:val="22"/>
          <w:rFonts w:hint="eastAsia" w:ascii="宋体" w:hAnsi="宋体" w:eastAsia="宋体" w:cs="宋体"/>
          <w:b/>
          <w:bCs w:val="0"/>
          <w:sz w:val="28"/>
          <w:szCs w:val="28"/>
        </w:rPr>
        <w:t>投标文件组成：</w:t>
      </w:r>
    </w:p>
    <w:p>
      <w:pPr>
        <w:rPr>
          <w:rFonts w:ascii="宋体" w:hAnsi="宋体" w:cs="宋体"/>
          <w:sz w:val="24"/>
        </w:rPr>
      </w:pPr>
    </w:p>
    <w:p>
      <w:pPr>
        <w:rPr>
          <w:rFonts w:ascii="宋体" w:hAnsi="宋体" w:cs="宋体"/>
          <w:sz w:val="24"/>
        </w:rPr>
      </w:pPr>
      <w:r>
        <w:rPr>
          <w:rFonts w:hint="eastAsia" w:ascii="宋体" w:hAnsi="宋体" w:cs="宋体"/>
          <w:sz w:val="24"/>
        </w:rPr>
        <w:t>目录</w:t>
      </w:r>
    </w:p>
    <w:p>
      <w:pPr>
        <w:rPr>
          <w:rFonts w:ascii="宋体" w:hAnsi="宋体" w:cs="宋体"/>
          <w:sz w:val="24"/>
        </w:rPr>
      </w:pPr>
    </w:p>
    <w:p>
      <w:pPr>
        <w:rPr>
          <w:rFonts w:ascii="宋体" w:hAnsi="宋体" w:cs="宋体"/>
          <w:sz w:val="24"/>
        </w:rPr>
      </w:pPr>
      <w:r>
        <w:rPr>
          <w:rFonts w:hint="eastAsia" w:ascii="宋体" w:hAnsi="宋体" w:cs="宋体"/>
          <w:szCs w:val="21"/>
        </w:rPr>
        <w:t>投标一览表</w:t>
      </w:r>
    </w:p>
    <w:p>
      <w:pPr>
        <w:rPr>
          <w:rFonts w:ascii="宋体" w:hAnsi="宋体" w:cs="宋体"/>
          <w:sz w:val="24"/>
        </w:rPr>
      </w:pPr>
      <w:r>
        <w:rPr>
          <w:rFonts w:hint="eastAsia" w:ascii="宋体" w:hAnsi="宋体" w:cs="宋体"/>
          <w:sz w:val="24"/>
        </w:rPr>
        <w:t>1、评标指引表</w:t>
      </w:r>
    </w:p>
    <w:p>
      <w:pPr>
        <w:rPr>
          <w:rFonts w:ascii="宋体" w:hAnsi="宋体" w:cs="宋体"/>
          <w:sz w:val="24"/>
        </w:rPr>
      </w:pPr>
      <w:r>
        <w:rPr>
          <w:rFonts w:hint="eastAsia" w:ascii="宋体" w:hAnsi="宋体" w:cs="宋体"/>
          <w:sz w:val="24"/>
        </w:rPr>
        <w:t>2、法定代表人证明书</w:t>
      </w:r>
    </w:p>
    <w:p>
      <w:pPr>
        <w:rPr>
          <w:rFonts w:ascii="宋体" w:hAnsi="宋体" w:cs="宋体"/>
          <w:sz w:val="24"/>
        </w:rPr>
      </w:pPr>
      <w:r>
        <w:rPr>
          <w:rFonts w:hint="eastAsia" w:ascii="宋体" w:hAnsi="宋体" w:cs="宋体"/>
          <w:sz w:val="24"/>
        </w:rPr>
        <w:t>3、投标文件签署授权委托书</w:t>
      </w:r>
    </w:p>
    <w:p>
      <w:pPr>
        <w:rPr>
          <w:rFonts w:ascii="宋体" w:hAnsi="宋体" w:cs="宋体"/>
          <w:sz w:val="24"/>
        </w:rPr>
      </w:pPr>
      <w:r>
        <w:rPr>
          <w:rFonts w:hint="eastAsia" w:ascii="宋体" w:hAnsi="宋体" w:cs="宋体"/>
          <w:sz w:val="24"/>
        </w:rPr>
        <w:t>4、投标承诺函</w:t>
      </w:r>
    </w:p>
    <w:p>
      <w:pPr>
        <w:rPr>
          <w:rFonts w:ascii="宋体" w:hAnsi="宋体" w:cs="宋体"/>
          <w:sz w:val="24"/>
        </w:rPr>
      </w:pPr>
      <w:r>
        <w:rPr>
          <w:rFonts w:hint="eastAsia" w:ascii="宋体" w:hAnsi="宋体" w:cs="宋体"/>
          <w:sz w:val="24"/>
        </w:rPr>
        <w:t>5、投标人情况介绍</w:t>
      </w:r>
    </w:p>
    <w:p>
      <w:pPr>
        <w:rPr>
          <w:rFonts w:ascii="宋体" w:hAnsi="宋体" w:cs="宋体"/>
          <w:sz w:val="24"/>
        </w:rPr>
      </w:pPr>
      <w:r>
        <w:rPr>
          <w:rFonts w:hint="eastAsia" w:ascii="宋体" w:hAnsi="宋体" w:cs="宋体"/>
          <w:sz w:val="24"/>
        </w:rPr>
        <w:t>6、分项报价清单表</w:t>
      </w:r>
    </w:p>
    <w:p>
      <w:pPr>
        <w:rPr>
          <w:rFonts w:ascii="宋体" w:hAnsi="宋体" w:cs="宋体"/>
          <w:sz w:val="24"/>
        </w:rPr>
      </w:pPr>
      <w:r>
        <w:rPr>
          <w:rFonts w:hint="eastAsia" w:ascii="宋体" w:hAnsi="宋体" w:cs="宋体"/>
          <w:sz w:val="24"/>
        </w:rPr>
        <w:t>7、货物说明一览表</w:t>
      </w:r>
    </w:p>
    <w:p>
      <w:pPr>
        <w:rPr>
          <w:rFonts w:ascii="宋体" w:hAnsi="宋体" w:cs="宋体"/>
          <w:sz w:val="24"/>
        </w:rPr>
      </w:pPr>
      <w:r>
        <w:rPr>
          <w:rFonts w:hint="eastAsia" w:ascii="宋体" w:hAnsi="宋体" w:cs="宋体"/>
          <w:sz w:val="24"/>
        </w:rPr>
        <w:t>8、技术规格偏离表</w:t>
      </w:r>
    </w:p>
    <w:p>
      <w:pPr>
        <w:rPr>
          <w:rFonts w:ascii="宋体" w:hAnsi="宋体" w:cs="宋体"/>
          <w:sz w:val="24"/>
        </w:rPr>
      </w:pPr>
      <w:r>
        <w:rPr>
          <w:rFonts w:hint="eastAsia" w:ascii="宋体" w:hAnsi="宋体" w:cs="宋体"/>
          <w:sz w:val="24"/>
        </w:rPr>
        <w:t>9、商务需求偏离表</w:t>
      </w:r>
    </w:p>
    <w:p>
      <w:pPr>
        <w:rPr>
          <w:rFonts w:ascii="宋体" w:hAnsi="宋体" w:cs="宋体"/>
          <w:sz w:val="24"/>
        </w:rPr>
      </w:pPr>
      <w:r>
        <w:rPr>
          <w:rFonts w:hint="eastAsia" w:ascii="宋体" w:hAnsi="宋体" w:cs="宋体"/>
          <w:sz w:val="24"/>
        </w:rPr>
        <w:t>10、技术保障措施</w:t>
      </w:r>
    </w:p>
    <w:p>
      <w:pPr>
        <w:rPr>
          <w:rFonts w:ascii="宋体" w:hAnsi="宋体" w:cs="宋体"/>
          <w:sz w:val="24"/>
        </w:rPr>
      </w:pPr>
      <w:r>
        <w:rPr>
          <w:rFonts w:hint="eastAsia" w:ascii="宋体" w:hAnsi="宋体" w:cs="宋体"/>
          <w:sz w:val="24"/>
        </w:rPr>
        <w:t>11、</w:t>
      </w:r>
      <w:r>
        <w:rPr>
          <w:rFonts w:hint="eastAsia" w:ascii="宋体" w:hAnsi="宋体"/>
        </w:rPr>
        <w:t>故障预案与维保细则</w:t>
      </w:r>
    </w:p>
    <w:p>
      <w:pPr>
        <w:rPr>
          <w:rFonts w:ascii="宋体" w:hAnsi="宋体" w:cs="宋体"/>
          <w:sz w:val="24"/>
        </w:rPr>
      </w:pPr>
      <w:r>
        <w:rPr>
          <w:rFonts w:hint="eastAsia" w:ascii="宋体" w:hAnsi="宋体" w:cs="宋体"/>
          <w:sz w:val="24"/>
        </w:rPr>
        <w:t>12、售后服务方案</w:t>
      </w:r>
    </w:p>
    <w:p>
      <w:pPr>
        <w:rPr>
          <w:rFonts w:ascii="宋体" w:hAnsi="宋体" w:cs="宋体"/>
          <w:sz w:val="24"/>
        </w:rPr>
      </w:pPr>
    </w:p>
    <w:p>
      <w:pPr>
        <w:outlineLvl w:val="1"/>
        <w:rPr>
          <w:rFonts w:ascii="宋体" w:hAnsi="宋体" w:cs="宋体"/>
          <w:b/>
          <w:sz w:val="28"/>
          <w:szCs w:val="28"/>
        </w:rPr>
      </w:pPr>
      <w:r>
        <w:rPr>
          <w:rFonts w:hint="eastAsia" w:ascii="宋体" w:hAnsi="宋体" w:cs="宋体"/>
          <w:b/>
          <w:sz w:val="28"/>
          <w:szCs w:val="28"/>
        </w:rPr>
        <w:t>投标文件格式：</w:t>
      </w:r>
    </w:p>
    <w:p>
      <w:pPr>
        <w:keepNext/>
        <w:keepLines/>
        <w:spacing w:before="120" w:after="120" w:line="416" w:lineRule="auto"/>
        <w:jc w:val="center"/>
        <w:outlineLvl w:val="2"/>
        <w:rPr>
          <w:rFonts w:ascii="宋体" w:hAnsi="宋体" w:cs="宋体"/>
          <w:bCs/>
          <w:color w:val="000000"/>
          <w:sz w:val="44"/>
          <w:szCs w:val="32"/>
        </w:rPr>
      </w:pPr>
      <w:r>
        <w:rPr>
          <w:rFonts w:hint="eastAsia" w:ascii="宋体" w:hAnsi="宋体" w:cs="宋体"/>
          <w:b/>
          <w:bCs/>
          <w:color w:val="000000"/>
          <w:sz w:val="32"/>
          <w:szCs w:val="32"/>
        </w:rPr>
        <w:t>开标一览表</w:t>
      </w:r>
    </w:p>
    <w:p>
      <w:pPr>
        <w:jc w:val="right"/>
        <w:rPr>
          <w:rFonts w:ascii="宋体" w:hAnsi="宋体" w:cs="宋体"/>
          <w:bCs/>
          <w:snapToGrid w:val="0"/>
          <w:color w:val="000000"/>
          <w:kern w:val="0"/>
          <w:szCs w:val="22"/>
        </w:rPr>
      </w:pPr>
      <w:r>
        <w:rPr>
          <w:rFonts w:hint="eastAsia" w:ascii="宋体" w:hAnsi="宋体" w:cs="宋体"/>
          <w:bCs/>
          <w:snapToGrid w:val="0"/>
          <w:color w:val="000000"/>
          <w:kern w:val="0"/>
          <w:szCs w:val="22"/>
        </w:rPr>
        <w:t>单位：人民币元</w:t>
      </w: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603"/>
        <w:gridCol w:w="2217"/>
        <w:gridCol w:w="20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1800"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项目名称</w:t>
            </w:r>
          </w:p>
        </w:tc>
        <w:tc>
          <w:tcPr>
            <w:tcW w:w="2603"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投标报价</w:t>
            </w:r>
          </w:p>
        </w:tc>
        <w:tc>
          <w:tcPr>
            <w:tcW w:w="2217"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交货期</w:t>
            </w:r>
          </w:p>
        </w:tc>
        <w:tc>
          <w:tcPr>
            <w:tcW w:w="2013"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1800" w:type="dxa"/>
            <w:tcBorders>
              <w:top w:val="single" w:color="auto" w:sz="4" w:space="0"/>
            </w:tcBorders>
            <w:vAlign w:val="center"/>
          </w:tcPr>
          <w:p>
            <w:pPr>
              <w:rPr>
                <w:rFonts w:ascii="宋体" w:hAnsi="宋体" w:cs="宋体"/>
                <w:snapToGrid w:val="0"/>
                <w:color w:val="000000"/>
                <w:kern w:val="0"/>
                <w:szCs w:val="22"/>
                <w:u w:val="single"/>
              </w:rPr>
            </w:pPr>
          </w:p>
        </w:tc>
        <w:tc>
          <w:tcPr>
            <w:tcW w:w="2603" w:type="dxa"/>
            <w:tcBorders>
              <w:top w:val="single" w:color="auto" w:sz="4" w:space="0"/>
            </w:tcBorders>
            <w:vAlign w:val="center"/>
          </w:tcPr>
          <w:p>
            <w:pPr>
              <w:rPr>
                <w:rFonts w:ascii="宋体" w:hAnsi="宋体" w:cs="宋体"/>
                <w:szCs w:val="21"/>
              </w:rPr>
            </w:pPr>
            <w:r>
              <w:rPr>
                <w:rFonts w:hint="eastAsia" w:ascii="宋体" w:hAnsi="宋体" w:cs="宋体"/>
                <w:szCs w:val="21"/>
              </w:rPr>
              <w:t>大写：</w:t>
            </w:r>
          </w:p>
          <w:p>
            <w:pPr>
              <w:rPr>
                <w:rFonts w:ascii="宋体" w:hAnsi="宋体" w:cs="宋体"/>
                <w:color w:val="FF0000"/>
                <w:szCs w:val="21"/>
              </w:rPr>
            </w:pPr>
            <w:r>
              <w:rPr>
                <w:rFonts w:hint="eastAsia" w:ascii="宋体" w:hAnsi="宋体" w:cs="宋体"/>
                <w:szCs w:val="21"/>
              </w:rPr>
              <w:t>小写：</w:t>
            </w:r>
          </w:p>
        </w:tc>
        <w:tc>
          <w:tcPr>
            <w:tcW w:w="2217" w:type="dxa"/>
            <w:tcBorders>
              <w:top w:val="single" w:color="auto" w:sz="4" w:space="0"/>
            </w:tcBorders>
            <w:vAlign w:val="center"/>
          </w:tcPr>
          <w:p>
            <w:pPr>
              <w:ind w:firstLine="210" w:firstLineChars="100"/>
              <w:rPr>
                <w:rFonts w:ascii="宋体" w:hAnsi="宋体" w:cs="宋体"/>
                <w:color w:val="000000"/>
                <w:kern w:val="0"/>
                <w:szCs w:val="21"/>
                <w:lang w:val="zh-CN"/>
              </w:rPr>
            </w:pPr>
            <w:r>
              <w:rPr>
                <w:rFonts w:hint="eastAsia" w:ascii="宋体" w:hAnsi="宋体" w:cs="宋体"/>
                <w:snapToGrid w:val="0"/>
                <w:color w:val="000000"/>
                <w:kern w:val="0"/>
                <w:szCs w:val="22"/>
              </w:rPr>
              <w:t>日历日</w:t>
            </w:r>
          </w:p>
        </w:tc>
        <w:tc>
          <w:tcPr>
            <w:tcW w:w="2013" w:type="dxa"/>
            <w:tcBorders>
              <w:top w:val="single" w:color="auto" w:sz="4" w:space="0"/>
            </w:tcBorders>
            <w:vAlign w:val="center"/>
          </w:tcPr>
          <w:p>
            <w:pPr>
              <w:rPr>
                <w:rFonts w:ascii="宋体" w:hAnsi="宋体" w:cs="宋体"/>
                <w:snapToGrid w:val="0"/>
                <w:color w:val="000000"/>
                <w:kern w:val="0"/>
                <w:szCs w:val="22"/>
              </w:rPr>
            </w:pPr>
          </w:p>
        </w:tc>
      </w:tr>
    </w:tbl>
    <w:p>
      <w:pPr>
        <w:rPr>
          <w:rFonts w:ascii="宋体" w:hAnsi="宋体" w:cs="宋体"/>
          <w:snapToGrid w:val="0"/>
          <w:color w:val="000000"/>
          <w:kern w:val="0"/>
          <w:szCs w:val="22"/>
        </w:rPr>
      </w:pPr>
    </w:p>
    <w:p>
      <w:pPr>
        <w:rPr>
          <w:rFonts w:ascii="宋体" w:hAnsi="宋体" w:cs="宋体"/>
          <w:snapToGrid w:val="0"/>
          <w:kern w:val="0"/>
          <w:szCs w:val="22"/>
        </w:rPr>
      </w:pPr>
      <w:r>
        <w:rPr>
          <w:rFonts w:hint="eastAsia" w:ascii="宋体" w:hAnsi="宋体" w:cs="宋体"/>
          <w:snapToGrid w:val="0"/>
          <w:kern w:val="0"/>
          <w:szCs w:val="22"/>
        </w:rPr>
        <w:t>注：1、价格应按“招标文件”中规定的货币单位填写。</w:t>
      </w:r>
    </w:p>
    <w:p>
      <w:pPr>
        <w:ind w:firstLine="420"/>
        <w:rPr>
          <w:rFonts w:ascii="宋体" w:hAnsi="宋体" w:cs="宋体"/>
          <w:szCs w:val="22"/>
        </w:rPr>
      </w:pPr>
      <w:r>
        <w:rPr>
          <w:rFonts w:hint="eastAsia" w:ascii="宋体" w:hAnsi="宋体" w:cs="宋体"/>
          <w:snapToGrid w:val="0"/>
          <w:kern w:val="0"/>
          <w:szCs w:val="22"/>
        </w:rPr>
        <w:t>2、投标人如果需要对报价或其它内容加以说明，可在备注栏填写。</w:t>
      </w:r>
    </w:p>
    <w:p>
      <w:pPr>
        <w:ind w:firstLine="420"/>
        <w:rPr>
          <w:rFonts w:ascii="宋体" w:hAnsi="宋体" w:cs="宋体"/>
          <w:b/>
          <w:szCs w:val="22"/>
        </w:rPr>
      </w:pPr>
      <w:r>
        <w:rPr>
          <w:rFonts w:hint="eastAsia" w:ascii="宋体" w:hAnsi="宋体" w:cs="宋体"/>
          <w:b/>
          <w:szCs w:val="22"/>
        </w:rPr>
        <w:t>3、开标一览表和投标文件（含正本和副本）应分开独立密封包装。开标一览表未按规定密封、签字、盖章将导致废标。</w:t>
      </w:r>
    </w:p>
    <w:p>
      <w:pPr>
        <w:snapToGrid w:val="0"/>
        <w:ind w:firstLine="411" w:firstLineChars="196"/>
        <w:rPr>
          <w:rFonts w:ascii="宋体" w:hAnsi="宋体" w:cs="宋体"/>
          <w:szCs w:val="21"/>
        </w:rPr>
      </w:pPr>
      <w:r>
        <w:rPr>
          <w:rFonts w:hint="eastAsia" w:ascii="宋体" w:hAnsi="宋体" w:cs="宋体"/>
          <w:szCs w:val="22"/>
        </w:rPr>
        <w:t>4、</w:t>
      </w:r>
      <w:r>
        <w:rPr>
          <w:rFonts w:hint="eastAsia" w:ascii="宋体" w:hAnsi="宋体" w:cs="宋体"/>
          <w:szCs w:val="21"/>
        </w:rPr>
        <w:t>若开标一览表中大写金额和小写金额不一致的，以大写金额为准。</w:t>
      </w:r>
    </w:p>
    <w:p>
      <w:pPr>
        <w:snapToGrid w:val="0"/>
        <w:ind w:firstLine="411" w:firstLineChars="196"/>
        <w:rPr>
          <w:rFonts w:ascii="宋体" w:hAnsi="宋体" w:cs="宋体"/>
          <w:szCs w:val="21"/>
        </w:rPr>
      </w:pPr>
    </w:p>
    <w:p>
      <w:pPr>
        <w:ind w:firstLine="420"/>
        <w:rPr>
          <w:rFonts w:ascii="宋体" w:hAnsi="宋体" w:cs="宋体"/>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法定代表人或被授权人签名：</w:t>
      </w:r>
    </w:p>
    <w:p>
      <w:pPr>
        <w:ind w:right="2100" w:rightChars="1000"/>
        <w:jc w:val="right"/>
        <w:rPr>
          <w:rFonts w:ascii="宋体" w:hAnsi="宋体" w:cs="宋体"/>
          <w:snapToGrid w:val="0"/>
          <w:kern w:val="0"/>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投标单位公章：</w:t>
      </w:r>
    </w:p>
    <w:p>
      <w:pPr>
        <w:pStyle w:val="10"/>
      </w:pPr>
    </w:p>
    <w:p>
      <w:pPr>
        <w:pStyle w:val="4"/>
        <w:numPr>
          <w:ilvl w:val="0"/>
          <w:numId w:val="6"/>
        </w:numPr>
        <w:jc w:val="center"/>
        <w:rPr>
          <w:rFonts w:cs="宋体"/>
          <w:bCs w:val="0"/>
          <w:kern w:val="0"/>
          <w:szCs w:val="28"/>
        </w:rPr>
      </w:pPr>
      <w:r>
        <w:rPr>
          <w:rFonts w:hint="eastAsia" w:cs="宋体"/>
          <w:bCs w:val="0"/>
          <w:kern w:val="0"/>
          <w:szCs w:val="28"/>
        </w:rPr>
        <w:t>评标指引表</w:t>
      </w:r>
    </w:p>
    <w:tbl>
      <w:tblPr>
        <w:tblStyle w:val="14"/>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44"/>
        <w:gridCol w:w="3442"/>
        <w:gridCol w:w="2068"/>
        <w:gridCol w:w="1422"/>
        <w:gridCol w:w="14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color w:val="000000"/>
                <w:szCs w:val="22"/>
              </w:rPr>
            </w:pPr>
            <w:r>
              <w:rPr>
                <w:rFonts w:hint="eastAsia"/>
                <w:b/>
                <w:bCs/>
                <w:color w:val="000000"/>
                <w:szCs w:val="22"/>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3786" w:type="dxa"/>
            <w:gridSpan w:val="2"/>
            <w:vAlign w:val="center"/>
          </w:tcPr>
          <w:p>
            <w:pPr>
              <w:jc w:val="center"/>
              <w:rPr>
                <w:b/>
                <w:color w:val="000000"/>
                <w:szCs w:val="22"/>
              </w:rPr>
            </w:pPr>
            <w:r>
              <w:rPr>
                <w:rFonts w:hint="eastAsia"/>
                <w:b/>
                <w:color w:val="000000"/>
                <w:szCs w:val="22"/>
              </w:rPr>
              <w:t>资格性检查项目</w:t>
            </w:r>
          </w:p>
        </w:tc>
        <w:tc>
          <w:tcPr>
            <w:tcW w:w="3490" w:type="dxa"/>
            <w:gridSpan w:val="2"/>
            <w:vAlign w:val="center"/>
          </w:tcPr>
          <w:p>
            <w:pPr>
              <w:jc w:val="center"/>
              <w:rPr>
                <w:b/>
                <w:color w:val="000000"/>
                <w:szCs w:val="22"/>
              </w:rPr>
            </w:pPr>
            <w:r>
              <w:rPr>
                <w:rFonts w:hint="eastAsia"/>
                <w:b/>
                <w:color w:val="000000"/>
                <w:szCs w:val="22"/>
              </w:rPr>
              <w:t>证明文件</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92" w:type="dxa"/>
            <w:vMerge w:val="restart"/>
          </w:tcPr>
          <w:p>
            <w:pPr>
              <w:jc w:val="center"/>
              <w:rPr>
                <w:b/>
                <w:color w:val="000000"/>
                <w:szCs w:val="22"/>
              </w:rPr>
            </w:pPr>
            <w:r>
              <w:rPr>
                <w:rFonts w:hint="eastAsia"/>
                <w:b/>
                <w:color w:val="000000"/>
                <w:szCs w:val="22"/>
              </w:rPr>
              <w:t>1</w:t>
            </w:r>
          </w:p>
        </w:tc>
        <w:tc>
          <w:tcPr>
            <w:tcW w:w="3786" w:type="dxa"/>
            <w:gridSpan w:val="2"/>
            <w:vMerge w:val="restart"/>
            <w:vAlign w:val="center"/>
          </w:tcPr>
          <w:p>
            <w:pPr>
              <w:jc w:val="center"/>
              <w:rPr>
                <w:b/>
                <w:color w:val="000000"/>
                <w:szCs w:val="22"/>
              </w:rPr>
            </w:pPr>
            <w:r>
              <w:rPr>
                <w:rFonts w:hint="eastAsia" w:ascii="宋体" w:hAnsi="宋体" w:cs="宋体"/>
              </w:rPr>
              <w:t>投标人不具备招标文件所列的资格要求，或未提交相应的资格证明资料（详见招标公告投标人资格要求）</w:t>
            </w:r>
          </w:p>
        </w:tc>
        <w:tc>
          <w:tcPr>
            <w:tcW w:w="3490" w:type="dxa"/>
            <w:gridSpan w:val="2"/>
            <w:vAlign w:val="center"/>
          </w:tcPr>
          <w:p>
            <w:pPr>
              <w:jc w:val="center"/>
              <w:rPr>
                <w:color w:val="000000"/>
                <w:szCs w:val="22"/>
              </w:rPr>
            </w:pPr>
            <w:r>
              <w:rPr>
                <w:rFonts w:hint="eastAsia"/>
                <w:color w:val="000000"/>
                <w:szCs w:val="22"/>
              </w:rPr>
              <w:t>营业执照</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r>
              <w:rPr>
                <w:rFonts w:hint="eastAsia"/>
                <w:color w:val="000000"/>
                <w:szCs w:val="22"/>
              </w:rPr>
              <w:t>...</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b/>
                <w:bCs/>
                <w:color w:val="000000"/>
                <w:szCs w:val="22"/>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5854" w:type="dxa"/>
            <w:gridSpan w:val="3"/>
            <w:vAlign w:val="center"/>
          </w:tcPr>
          <w:p>
            <w:pPr>
              <w:jc w:val="center"/>
              <w:rPr>
                <w:b/>
                <w:color w:val="000000"/>
                <w:szCs w:val="22"/>
              </w:rPr>
            </w:pPr>
            <w:r>
              <w:rPr>
                <w:rFonts w:hint="eastAsia"/>
                <w:b/>
                <w:color w:val="000000"/>
                <w:szCs w:val="22"/>
              </w:rPr>
              <w:t>符合性审查项目</w:t>
            </w:r>
          </w:p>
        </w:tc>
        <w:tc>
          <w:tcPr>
            <w:tcW w:w="1566" w:type="dxa"/>
            <w:gridSpan w:val="2"/>
            <w:vAlign w:val="center"/>
          </w:tcPr>
          <w:p>
            <w:pPr>
              <w:jc w:val="center"/>
              <w:rPr>
                <w:b/>
                <w:color w:val="000000"/>
                <w:szCs w:val="22"/>
              </w:rPr>
            </w:pPr>
            <w:r>
              <w:rPr>
                <w:rFonts w:hint="eastAsia"/>
                <w:b/>
                <w:color w:val="000000"/>
                <w:szCs w:val="22"/>
              </w:rPr>
              <w:t>说明</w:t>
            </w:r>
          </w:p>
          <w:p>
            <w:pPr>
              <w:jc w:val="center"/>
              <w:rPr>
                <w:b/>
                <w:color w:val="000000"/>
                <w:szCs w:val="22"/>
              </w:rPr>
            </w:pPr>
            <w:r>
              <w:rPr>
                <w:rFonts w:hint="eastAsia"/>
                <w:b/>
                <w:color w:val="000000"/>
                <w:szCs w:val="22"/>
              </w:rPr>
              <w:t>(</w:t>
            </w:r>
            <w:r>
              <w:rPr>
                <w:rFonts w:hint="eastAsia"/>
                <w:szCs w:val="22"/>
              </w:rPr>
              <w:t>存在/不存在）</w:t>
            </w:r>
          </w:p>
        </w:tc>
        <w:tc>
          <w:tcPr>
            <w:tcW w:w="1214" w:type="dxa"/>
            <w:vAlign w:val="center"/>
          </w:tcPr>
          <w:p>
            <w:pPr>
              <w:widowControl/>
              <w:jc w:val="left"/>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2</w:t>
            </w:r>
          </w:p>
        </w:tc>
        <w:tc>
          <w:tcPr>
            <w:tcW w:w="5854" w:type="dxa"/>
            <w:gridSpan w:val="3"/>
          </w:tcPr>
          <w:p>
            <w:r>
              <w:rPr>
                <w:rFonts w:hint="eastAsia"/>
              </w:rPr>
              <w:t>未按招标文件对投标文件组成的要求提供投标文件的（投标文件组成不完整）或未按规定密封、签字、盖章；</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3</w:t>
            </w:r>
          </w:p>
        </w:tc>
        <w:tc>
          <w:tcPr>
            <w:tcW w:w="5854" w:type="dxa"/>
            <w:gridSpan w:val="3"/>
          </w:tcPr>
          <w:p>
            <w:r>
              <w:rPr>
                <w:rFonts w:hint="eastAsia"/>
              </w:rPr>
              <w:t>《技术规格偏离表》或《商务需求偏离表》填写不全或不实</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4</w:t>
            </w:r>
          </w:p>
        </w:tc>
        <w:tc>
          <w:tcPr>
            <w:tcW w:w="5854" w:type="dxa"/>
            <w:gridSpan w:val="3"/>
          </w:tcPr>
          <w:p>
            <w:r>
              <w:rPr>
                <w:rFonts w:hint="eastAsia"/>
              </w:rPr>
              <w:t>投标总价高于预算限额的或报价低于其成本且不能做出合理说明</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5</w:t>
            </w:r>
          </w:p>
        </w:tc>
        <w:tc>
          <w:tcPr>
            <w:tcW w:w="5854" w:type="dxa"/>
            <w:gridSpan w:val="3"/>
          </w:tcPr>
          <w:p>
            <w:r>
              <w:rPr>
                <w:rFonts w:hint="eastAsia"/>
              </w:rPr>
              <w:t>投标报价有严重缺漏项目</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6</w:t>
            </w:r>
          </w:p>
        </w:tc>
        <w:tc>
          <w:tcPr>
            <w:tcW w:w="5854" w:type="dxa"/>
            <w:gridSpan w:val="3"/>
          </w:tcPr>
          <w:p>
            <w:r>
              <w:rPr>
                <w:rFonts w:hint="eastAsia"/>
              </w:rPr>
              <w:t>投标文件载明的交货期超过招标文件规定的期限或免费保修期低于招标文件规定的期限</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7</w:t>
            </w:r>
          </w:p>
        </w:tc>
        <w:tc>
          <w:tcPr>
            <w:tcW w:w="5854" w:type="dxa"/>
            <w:gridSpan w:val="3"/>
          </w:tcPr>
          <w:p>
            <w:r>
              <w:rPr>
                <w:rFonts w:hint="eastAsia"/>
              </w:rPr>
              <w:t>所投产品、工程、服务在质量、技术、方案等方面没有实质性满足招标文件要求</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b/>
                <w:color w:val="000000"/>
                <w:szCs w:val="22"/>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6" w:type="dxa"/>
            <w:gridSpan w:val="2"/>
          </w:tcPr>
          <w:p>
            <w:pPr>
              <w:jc w:val="center"/>
              <w:rPr>
                <w:b/>
                <w:color w:val="000000"/>
                <w:szCs w:val="22"/>
              </w:rPr>
            </w:pPr>
            <w:r>
              <w:rPr>
                <w:rFonts w:hint="eastAsia"/>
                <w:b/>
                <w:color w:val="000000"/>
                <w:szCs w:val="22"/>
              </w:rPr>
              <w:t>评分类别</w:t>
            </w:r>
          </w:p>
        </w:tc>
        <w:tc>
          <w:tcPr>
            <w:tcW w:w="5510" w:type="dxa"/>
            <w:gridSpan w:val="2"/>
            <w:vAlign w:val="center"/>
          </w:tcPr>
          <w:p>
            <w:pPr>
              <w:jc w:val="center"/>
              <w:rPr>
                <w:b/>
                <w:color w:val="000000"/>
                <w:szCs w:val="22"/>
              </w:rPr>
            </w:pPr>
            <w:r>
              <w:rPr>
                <w:rFonts w:hint="eastAsia"/>
                <w:b/>
                <w:color w:val="000000"/>
                <w:szCs w:val="22"/>
              </w:rPr>
              <w:t>评分项目</w:t>
            </w:r>
          </w:p>
        </w:tc>
        <w:tc>
          <w:tcPr>
            <w:tcW w:w="1422" w:type="dxa"/>
            <w:vAlign w:val="center"/>
          </w:tcPr>
          <w:p>
            <w:pPr>
              <w:jc w:val="center"/>
              <w:rPr>
                <w:b/>
                <w:color w:val="000000"/>
                <w:szCs w:val="22"/>
              </w:rPr>
            </w:pPr>
            <w:r>
              <w:rPr>
                <w:rFonts w:hint="eastAsia"/>
                <w:b/>
                <w:color w:val="000000"/>
                <w:szCs w:val="22"/>
              </w:rPr>
              <w:t>对应章节</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restart"/>
            <w:vAlign w:val="center"/>
          </w:tcPr>
          <w:p>
            <w:pPr>
              <w:jc w:val="center"/>
              <w:rPr>
                <w:b/>
                <w:color w:val="000000"/>
                <w:szCs w:val="22"/>
              </w:rPr>
            </w:pPr>
            <w:r>
              <w:rPr>
                <w:rFonts w:hint="eastAsia"/>
                <w:b/>
                <w:color w:val="000000"/>
                <w:szCs w:val="22"/>
              </w:rPr>
              <w:t>技术部分</w:t>
            </w: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rPr>
            </w:pPr>
            <w:r>
              <w:rPr>
                <w:rFonts w:hint="eastAsia"/>
                <w:b/>
                <w:color w:val="000000"/>
                <w:szCs w:val="22"/>
              </w:rPr>
              <w:t>商务部分</w:t>
            </w: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bl>
    <w:p/>
    <w:p>
      <w:pPr>
        <w:ind w:firstLine="422" w:firstLineChars="200"/>
        <w:rPr>
          <w:rFonts w:ascii="宋体" w:hAnsi="宋体" w:cs="宋体"/>
          <w:b/>
          <w:color w:val="000000"/>
          <w:szCs w:val="22"/>
        </w:rPr>
      </w:pPr>
      <w:r>
        <w:rPr>
          <w:rFonts w:hint="eastAsia" w:ascii="宋体" w:hAnsi="宋体" w:cs="宋体"/>
          <w:b/>
          <w:color w:val="000000"/>
          <w:szCs w:val="21"/>
        </w:rPr>
        <w:t>注：请投标人按照“评分方法和标准”的审查和评分内容，自上而下的顺序填写本表</w:t>
      </w:r>
      <w:r>
        <w:rPr>
          <w:rFonts w:hint="eastAsia" w:ascii="宋体" w:hAnsi="宋体" w:cs="宋体"/>
          <w:b/>
          <w:color w:val="000000"/>
          <w:szCs w:val="22"/>
        </w:rPr>
        <w:t>。因项目次序混乱而影响评标效率及评标结果者，投标人自负其责。</w:t>
      </w:r>
    </w:p>
    <w:p>
      <w:pPr>
        <w:jc w:val="center"/>
        <w:rPr>
          <w:rFonts w:ascii="宋体" w:hAnsi="宋体" w:cs="宋体"/>
          <w:b/>
          <w:color w:val="000000"/>
          <w:sz w:val="28"/>
          <w:szCs w:val="28"/>
        </w:rPr>
      </w:pPr>
    </w:p>
    <w:p>
      <w:pPr>
        <w:pStyle w:val="4"/>
        <w:jc w:val="center"/>
        <w:rPr>
          <w:rFonts w:cs="宋体"/>
          <w:bCs w:val="0"/>
          <w:kern w:val="0"/>
          <w:szCs w:val="28"/>
        </w:rPr>
      </w:pPr>
      <w:r>
        <w:rPr>
          <w:rFonts w:hint="eastAsia" w:cs="宋体"/>
          <w:bCs w:val="0"/>
          <w:kern w:val="0"/>
          <w:szCs w:val="28"/>
        </w:rPr>
        <w:t>二、法定代表人证明书</w:t>
      </w:r>
    </w:p>
    <w:p>
      <w:pPr>
        <w:spacing w:line="360" w:lineRule="auto"/>
        <w:rPr>
          <w:rFonts w:ascii="宋体" w:hAnsi="宋体" w:cs="宋体"/>
          <w:szCs w:val="21"/>
        </w:rPr>
      </w:pPr>
      <w:r>
        <w:rPr>
          <w:rFonts w:hint="eastAsia" w:ascii="宋体" w:hAnsi="宋体" w:cs="宋体"/>
          <w:szCs w:val="21"/>
        </w:rPr>
        <w:t>同志，现任我单位职务，为法定代表人，特此证明。</w:t>
      </w:r>
    </w:p>
    <w:p>
      <w:pPr>
        <w:spacing w:line="360" w:lineRule="auto"/>
        <w:rPr>
          <w:rFonts w:ascii="宋体" w:hAnsi="宋体" w:cs="宋体"/>
          <w:szCs w:val="21"/>
        </w:rPr>
      </w:pPr>
      <w:r>
        <w:rPr>
          <w:rFonts w:hint="eastAsia" w:ascii="宋体" w:hAnsi="宋体" w:cs="宋体"/>
          <w:szCs w:val="21"/>
        </w:rPr>
        <w:t>有效日期：签发日期：单位：</w:t>
      </w:r>
    </w:p>
    <w:p>
      <w:pPr>
        <w:spacing w:line="360" w:lineRule="auto"/>
        <w:rPr>
          <w:rFonts w:ascii="宋体" w:hAnsi="宋体" w:cs="宋体"/>
          <w:szCs w:val="21"/>
        </w:rPr>
      </w:pPr>
      <w:r>
        <w:rPr>
          <w:rFonts w:hint="eastAsia" w:ascii="宋体" w:hAnsi="宋体" w:cs="宋体"/>
          <w:szCs w:val="21"/>
        </w:rPr>
        <w:t>附：代表人性别：年龄：身份证号码：</w:t>
      </w:r>
    </w:p>
    <w:p>
      <w:pPr>
        <w:spacing w:line="360" w:lineRule="auto"/>
        <w:rPr>
          <w:rFonts w:ascii="宋体" w:hAnsi="宋体" w:cs="宋体"/>
          <w:szCs w:val="21"/>
        </w:rPr>
      </w:pPr>
      <w:r>
        <w:rPr>
          <w:rFonts w:hint="eastAsia" w:ascii="宋体" w:hAnsi="宋体" w:cs="宋体"/>
          <w:szCs w:val="21"/>
        </w:rPr>
        <w:t>营业执照号码：经济性质：</w:t>
      </w:r>
    </w:p>
    <w:p>
      <w:pPr>
        <w:spacing w:line="360" w:lineRule="auto"/>
        <w:rPr>
          <w:rFonts w:ascii="宋体" w:hAnsi="宋体" w:cs="宋体"/>
          <w:szCs w:val="21"/>
        </w:rPr>
      </w:pPr>
      <w:r>
        <w:rPr>
          <w:rFonts w:hint="eastAsia" w:ascii="宋体" w:hAnsi="宋体" w:cs="宋体"/>
          <w:szCs w:val="21"/>
        </w:rPr>
        <w:t>主营（产）：</w:t>
      </w:r>
    </w:p>
    <w:p>
      <w:pPr>
        <w:spacing w:line="360" w:lineRule="auto"/>
        <w:rPr>
          <w:rFonts w:ascii="宋体" w:hAnsi="宋体" w:cs="宋体"/>
          <w:szCs w:val="21"/>
        </w:rPr>
      </w:pPr>
      <w:r>
        <w:rPr>
          <w:rFonts w:hint="eastAsia" w:ascii="宋体" w:hAnsi="宋体" w:cs="宋体"/>
          <w:szCs w:val="21"/>
        </w:rPr>
        <w:t>兼营（产）：</w:t>
      </w:r>
    </w:p>
    <w:p>
      <w:pPr>
        <w:spacing w:line="360" w:lineRule="auto"/>
        <w:rPr>
          <w:rFonts w:ascii="宋体" w:hAnsi="宋体" w:cs="宋体"/>
          <w:szCs w:val="21"/>
        </w:rPr>
      </w:pPr>
      <w:r>
        <w:rPr>
          <w:rFonts w:hint="eastAsia" w:ascii="宋体" w:hAnsi="宋体" w:cs="宋体"/>
          <w:szCs w:val="21"/>
        </w:rPr>
        <w:t>进口物品经营许可证号码：</w:t>
      </w:r>
    </w:p>
    <w:p>
      <w:pPr>
        <w:spacing w:line="360" w:lineRule="auto"/>
        <w:rPr>
          <w:rFonts w:ascii="宋体" w:hAnsi="宋体" w:cs="宋体"/>
          <w:szCs w:val="21"/>
        </w:rPr>
      </w:pPr>
      <w:r>
        <w:rPr>
          <w:rFonts w:hint="eastAsia" w:ascii="宋体" w:hAnsi="宋体" w:cs="宋体"/>
          <w:szCs w:val="21"/>
        </w:rPr>
        <w:t>主营：</w:t>
      </w:r>
    </w:p>
    <w:p>
      <w:pPr>
        <w:spacing w:line="360" w:lineRule="auto"/>
        <w:rPr>
          <w:rFonts w:ascii="宋体" w:hAnsi="宋体" w:cs="宋体"/>
          <w:szCs w:val="21"/>
        </w:rPr>
      </w:pPr>
      <w:r>
        <w:rPr>
          <w:rFonts w:hint="eastAsia" w:ascii="宋体" w:hAnsi="宋体" w:cs="宋体"/>
          <w:szCs w:val="21"/>
        </w:rPr>
        <w:t>兼营：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1、法定代表人为企业事业单位、国家机关、社会团体的主要行政负责人。</w:t>
      </w:r>
    </w:p>
    <w:p>
      <w:pPr>
        <w:rPr>
          <w:rFonts w:ascii="宋体" w:hAnsi="宋体" w:cs="宋体"/>
          <w:szCs w:val="21"/>
        </w:rPr>
      </w:pPr>
      <w:r>
        <w:rPr>
          <w:rFonts w:hint="eastAsia" w:ascii="宋体" w:hAnsi="宋体" w:cs="宋体"/>
          <w:szCs w:val="21"/>
        </w:rPr>
        <w:t>2、内容必须填写真实、清楚，涂改无效，不得转让、买卖。</w:t>
      </w:r>
    </w:p>
    <w:p>
      <w:pPr>
        <w:ind w:firstLine="630" w:firstLineChars="300"/>
        <w:rPr>
          <w:rFonts w:ascii="宋体" w:hAnsi="宋体" w:cs="宋体"/>
          <w:szCs w:val="21"/>
        </w:rPr>
      </w:pPr>
      <w:r>
        <w:rPr>
          <w:rFonts w:hint="eastAsia" w:ascii="宋体" w:hAnsi="宋体" w:cs="宋体"/>
          <w:szCs w:val="21"/>
        </w:rPr>
        <w:t>3.本证明书要求投标人提供加盖公章后的原件方为有效。</w:t>
      </w:r>
    </w:p>
    <w:p>
      <w:pPr>
        <w:ind w:firstLine="630" w:firstLineChars="300"/>
        <w:rPr>
          <w:rFonts w:ascii="宋体" w:hAnsi="宋体" w:cs="宋体"/>
          <w:szCs w:val="21"/>
        </w:rPr>
      </w:pPr>
      <w:r>
        <w:rPr>
          <w:rFonts w:hint="eastAsia" w:ascii="宋体" w:hAnsi="宋体" w:cs="宋体"/>
          <w:szCs w:val="21"/>
        </w:rPr>
        <w:t>4.须提供法定代表人的身份证复印件（附后）。</w:t>
      </w:r>
    </w:p>
    <w:p>
      <w:pPr>
        <w:rPr>
          <w:rFonts w:ascii="宋体" w:hAnsi="宋体" w:cs="宋体"/>
          <w:sz w:val="24"/>
        </w:rPr>
      </w:pPr>
    </w:p>
    <w:p>
      <w:pPr>
        <w:rPr>
          <w:rFonts w:ascii="宋体" w:hAnsi="宋体" w:cs="宋体"/>
          <w:sz w:val="24"/>
        </w:rPr>
      </w:pPr>
    </w:p>
    <w:p>
      <w:pPr>
        <w:rPr>
          <w:rFonts w:ascii="宋体" w:hAnsi="宋体" w:cs="宋体"/>
          <w:sz w:val="24"/>
        </w:rPr>
      </w:pP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三、投标文件签署授权委托书</w:t>
      </w:r>
    </w:p>
    <w:p>
      <w:pPr>
        <w:spacing w:line="360" w:lineRule="auto"/>
        <w:ind w:firstLine="420" w:firstLineChars="200"/>
        <w:rPr>
          <w:rFonts w:ascii="宋体" w:hAnsi="宋体" w:cs="宋体"/>
          <w:szCs w:val="21"/>
        </w:rPr>
      </w:pPr>
      <w:r>
        <w:rPr>
          <w:rFonts w:hint="eastAsia" w:ascii="宋体" w:hAnsi="宋体" w:cs="宋体"/>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宋体" w:hAnsi="宋体" w:cs="宋体"/>
          <w:szCs w:val="21"/>
        </w:rPr>
      </w:pPr>
      <w:r>
        <w:rPr>
          <w:rFonts w:hint="eastAsia" w:ascii="宋体" w:hAnsi="宋体" w:cs="宋体"/>
          <w:szCs w:val="21"/>
        </w:rPr>
        <w:t>代理人无转委托权，特此委托。</w:t>
      </w:r>
    </w:p>
    <w:p>
      <w:pPr>
        <w:spacing w:line="360" w:lineRule="auto"/>
        <w:ind w:firstLine="420"/>
        <w:rPr>
          <w:rFonts w:ascii="宋体" w:hAnsi="宋体" w:cs="宋体"/>
          <w:szCs w:val="21"/>
        </w:rPr>
      </w:pPr>
    </w:p>
    <w:p>
      <w:pPr>
        <w:spacing w:line="360" w:lineRule="auto"/>
        <w:ind w:left="540" w:leftChars="257"/>
        <w:rPr>
          <w:rFonts w:ascii="宋体" w:hAnsi="宋体" w:cs="宋体"/>
          <w:szCs w:val="21"/>
          <w:u w:val="single"/>
        </w:rPr>
      </w:pPr>
      <w:r>
        <w:rPr>
          <w:rFonts w:hint="eastAsia" w:ascii="宋体" w:hAnsi="宋体" w:cs="宋体"/>
          <w:szCs w:val="21"/>
        </w:rPr>
        <w:t>代理人（签名）：性别：年龄：</w:t>
      </w:r>
    </w:p>
    <w:p>
      <w:pPr>
        <w:spacing w:line="360" w:lineRule="auto"/>
        <w:ind w:left="540" w:leftChars="257"/>
        <w:rPr>
          <w:rFonts w:ascii="宋体" w:hAnsi="宋体" w:cs="宋体"/>
          <w:szCs w:val="21"/>
        </w:rPr>
      </w:pPr>
      <w:r>
        <w:rPr>
          <w:rFonts w:hint="eastAsia" w:ascii="宋体" w:hAnsi="宋体" w:cs="宋体"/>
          <w:szCs w:val="21"/>
        </w:rPr>
        <w:t>联系电话：手机：</w:t>
      </w:r>
    </w:p>
    <w:p>
      <w:pPr>
        <w:spacing w:line="360" w:lineRule="auto"/>
        <w:ind w:left="540" w:leftChars="257"/>
        <w:rPr>
          <w:rFonts w:ascii="宋体" w:hAnsi="宋体" w:cs="宋体"/>
          <w:szCs w:val="21"/>
          <w:u w:val="single"/>
        </w:rPr>
      </w:pPr>
      <w:r>
        <w:rPr>
          <w:rFonts w:hint="eastAsia" w:ascii="宋体" w:hAnsi="宋体" w:cs="宋体"/>
          <w:szCs w:val="21"/>
        </w:rPr>
        <w:t>身份证号码：职务：</w:t>
      </w:r>
    </w:p>
    <w:p>
      <w:pPr>
        <w:spacing w:line="360" w:lineRule="auto"/>
        <w:ind w:left="540" w:leftChars="257"/>
        <w:rPr>
          <w:rFonts w:ascii="宋体" w:hAnsi="宋体" w:cs="宋体"/>
          <w:szCs w:val="21"/>
        </w:rPr>
      </w:pPr>
      <w:r>
        <w:rPr>
          <w:rFonts w:hint="eastAsia" w:ascii="宋体" w:hAnsi="宋体" w:cs="宋体"/>
          <w:szCs w:val="21"/>
        </w:rPr>
        <w:t>投标人（盖章）：</w:t>
      </w:r>
    </w:p>
    <w:p>
      <w:pPr>
        <w:spacing w:line="360" w:lineRule="auto"/>
        <w:ind w:left="540" w:leftChars="257"/>
        <w:rPr>
          <w:rFonts w:ascii="宋体" w:hAnsi="宋体" w:cs="宋体"/>
          <w:szCs w:val="21"/>
        </w:rPr>
      </w:pPr>
      <w:r>
        <w:rPr>
          <w:rFonts w:hint="eastAsia" w:ascii="宋体" w:hAnsi="宋体" w:cs="宋体"/>
          <w:szCs w:val="21"/>
        </w:rPr>
        <w:t>法定代表人（签名）：</w:t>
      </w:r>
    </w:p>
    <w:p>
      <w:pPr>
        <w:spacing w:line="360" w:lineRule="auto"/>
        <w:ind w:left="540" w:leftChars="257"/>
        <w:rPr>
          <w:rFonts w:ascii="宋体" w:hAnsi="宋体" w:cs="宋体"/>
          <w:szCs w:val="21"/>
        </w:rPr>
      </w:pPr>
      <w:r>
        <w:rPr>
          <w:rFonts w:hint="eastAsia" w:ascii="宋体" w:hAnsi="宋体" w:cs="宋体"/>
          <w:szCs w:val="21"/>
        </w:rPr>
        <w:t>授权委托日期：年月日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1.本授权委托书要求投标人提供有代理人</w:t>
      </w:r>
      <w:r>
        <w:rPr>
          <w:rFonts w:hint="eastAsia" w:ascii="宋体" w:hAnsi="宋体" w:cs="宋体"/>
          <w:color w:val="FF0000"/>
          <w:szCs w:val="21"/>
        </w:rPr>
        <w:t>签字</w:t>
      </w:r>
      <w:r>
        <w:rPr>
          <w:rFonts w:hint="eastAsia" w:ascii="宋体" w:hAnsi="宋体" w:cs="宋体"/>
          <w:szCs w:val="21"/>
        </w:rPr>
        <w:t>、法定代表人的</w:t>
      </w:r>
      <w:r>
        <w:rPr>
          <w:rFonts w:hint="eastAsia" w:ascii="宋体" w:hAnsi="宋体" w:cs="宋体"/>
          <w:color w:val="FF0000"/>
          <w:szCs w:val="21"/>
        </w:rPr>
        <w:t>签字（或盖私章）</w:t>
      </w:r>
      <w:r>
        <w:rPr>
          <w:rFonts w:hint="eastAsia" w:ascii="宋体" w:hAnsi="宋体" w:cs="宋体"/>
          <w:szCs w:val="21"/>
        </w:rPr>
        <w:t>和加盖公章后的原件方为有效；</w:t>
      </w:r>
    </w:p>
    <w:p>
      <w:pPr>
        <w:spacing w:line="360" w:lineRule="auto"/>
        <w:ind w:firstLine="630" w:firstLineChars="300"/>
        <w:rPr>
          <w:rFonts w:ascii="宋体" w:hAnsi="宋体" w:cs="宋体"/>
          <w:szCs w:val="21"/>
        </w:rPr>
      </w:pPr>
      <w:r>
        <w:rPr>
          <w:rFonts w:hint="eastAsia" w:ascii="宋体" w:hAnsi="宋体" w:cs="宋体"/>
          <w:szCs w:val="21"/>
        </w:rPr>
        <w:t>2.提供代理人的身份证复印件及</w:t>
      </w:r>
      <w:r>
        <w:rPr>
          <w:rFonts w:hint="eastAsia" w:ascii="宋体" w:hAnsi="宋体" w:cs="宋体"/>
          <w:color w:val="FF0000"/>
          <w:szCs w:val="21"/>
        </w:rPr>
        <w:t>投标人为代理人缴交的最近3个月社保证明（网页截图或窗口打印资料或社保部门出具的证明均可）</w:t>
      </w: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四、投标承诺函</w:t>
      </w:r>
    </w:p>
    <w:p>
      <w:pPr>
        <w:pStyle w:val="4"/>
        <w:ind w:firstLine="3373" w:firstLineChars="1200"/>
        <w:rPr>
          <w:rFonts w:cs="宋体"/>
          <w:bCs w:val="0"/>
          <w:szCs w:val="28"/>
        </w:rPr>
      </w:pPr>
      <w:r>
        <w:rPr>
          <w:rFonts w:hint="eastAsia" w:cs="宋体"/>
          <w:bCs w:val="0"/>
          <w:szCs w:val="28"/>
        </w:rPr>
        <w:t>（一）投标函</w:t>
      </w:r>
    </w:p>
    <w:p>
      <w:pPr>
        <w:spacing w:line="360" w:lineRule="auto"/>
        <w:rPr>
          <w:rFonts w:ascii="宋体" w:hAnsi="宋体" w:cs="宋体"/>
          <w:sz w:val="22"/>
          <w:szCs w:val="22"/>
        </w:rPr>
      </w:pPr>
      <w:r>
        <w:rPr>
          <w:rFonts w:hint="eastAsia" w:ascii="宋体" w:hAnsi="宋体" w:cs="宋体"/>
          <w:sz w:val="22"/>
          <w:szCs w:val="22"/>
        </w:rPr>
        <w:t>致：</w:t>
      </w:r>
      <w:r>
        <w:rPr>
          <w:rFonts w:hint="eastAsia" w:ascii="宋体" w:hAnsi="宋体" w:cs="宋体"/>
          <w:sz w:val="22"/>
          <w:szCs w:val="22"/>
          <w:u w:val="single"/>
        </w:rPr>
        <w:t>深圳市第一职业技术学校</w:t>
      </w:r>
    </w:p>
    <w:p>
      <w:pPr>
        <w:numPr>
          <w:ilvl w:val="0"/>
          <w:numId w:val="7"/>
        </w:numPr>
        <w:spacing w:after="156" w:afterLines="50"/>
        <w:ind w:firstLine="440" w:firstLineChars="200"/>
        <w:rPr>
          <w:rFonts w:ascii="宋体" w:hAnsi="宋体" w:cs="宋体"/>
          <w:sz w:val="22"/>
          <w:szCs w:val="22"/>
        </w:rPr>
      </w:pPr>
      <w:r>
        <w:rPr>
          <w:rFonts w:hint="eastAsia" w:ascii="宋体" w:hAnsi="宋体" w:cs="宋体"/>
          <w:sz w:val="22"/>
          <w:szCs w:val="22"/>
        </w:rPr>
        <w:t>根据已收到贵方的的项目的招标文件，遵照《深圳经济特区政府采购条例》和《深圳网上政府采购管理暂行办法》等有关规定，我单位经研究上述招标文件的专用条款及通用条款后，</w:t>
      </w:r>
      <w:r>
        <w:rPr>
          <w:rFonts w:hint="eastAsia" w:ascii="宋体" w:hAnsi="宋体" w:cs="宋体"/>
          <w:szCs w:val="21"/>
        </w:rPr>
        <w:t>我方愿以《开标一览表》中填写的投标报价并</w:t>
      </w:r>
      <w:r>
        <w:rPr>
          <w:rFonts w:hint="eastAsia" w:ascii="宋体" w:hAnsi="宋体" w:cs="宋体"/>
          <w:color w:val="FF0000"/>
          <w:szCs w:val="21"/>
        </w:rPr>
        <w:t>按招标文件要求</w:t>
      </w:r>
      <w:r>
        <w:rPr>
          <w:rFonts w:hint="eastAsia" w:ascii="宋体" w:hAnsi="宋体" w:cs="宋体"/>
          <w:szCs w:val="21"/>
        </w:rPr>
        <w:t>承包上述项目并修补其任何缺陷</w:t>
      </w:r>
      <w:r>
        <w:rPr>
          <w:rFonts w:hint="eastAsia" w:ascii="宋体" w:hAnsi="宋体" w:cs="宋体"/>
          <w:sz w:val="22"/>
          <w:szCs w:val="22"/>
        </w:rPr>
        <w:t>。</w:t>
      </w:r>
    </w:p>
    <w:p>
      <w:pPr>
        <w:spacing w:after="156" w:afterLines="50"/>
        <w:ind w:firstLine="440" w:firstLineChars="200"/>
        <w:rPr>
          <w:rFonts w:ascii="宋体" w:hAnsi="宋体" w:cs="宋体"/>
          <w:sz w:val="22"/>
          <w:szCs w:val="22"/>
        </w:rPr>
      </w:pPr>
      <w:r>
        <w:rPr>
          <w:rFonts w:hint="eastAsia" w:ascii="宋体" w:hAnsi="宋体" w:cs="宋体"/>
          <w:sz w:val="22"/>
          <w:szCs w:val="22"/>
        </w:rPr>
        <w:t>2、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56" w:afterLines="50"/>
        <w:ind w:firstLine="440" w:firstLineChars="200"/>
        <w:rPr>
          <w:rFonts w:ascii="宋体" w:hAnsi="宋体" w:cs="宋体"/>
          <w:sz w:val="22"/>
          <w:szCs w:val="22"/>
        </w:rPr>
      </w:pPr>
      <w:r>
        <w:rPr>
          <w:rFonts w:hint="eastAsia" w:ascii="宋体" w:hAnsi="宋体" w:cs="宋体"/>
          <w:sz w:val="22"/>
          <w:szCs w:val="22"/>
        </w:rPr>
        <w:t>3、在本项目投标过程中不弄虚作假，不隐瞒真实情况，不围标串标，不恶意质疑投诉。我公司已清楚违反上述要求的后果。</w:t>
      </w:r>
    </w:p>
    <w:p>
      <w:pPr>
        <w:spacing w:after="156" w:afterLines="50"/>
        <w:ind w:firstLine="440" w:firstLineChars="200"/>
        <w:rPr>
          <w:rFonts w:ascii="宋体" w:hAnsi="宋体" w:cs="宋体"/>
          <w:sz w:val="22"/>
          <w:szCs w:val="22"/>
        </w:rPr>
      </w:pPr>
      <w:r>
        <w:rPr>
          <w:rFonts w:hint="eastAsia" w:ascii="宋体" w:hAnsi="宋体" w:cs="宋体"/>
          <w:sz w:val="22"/>
          <w:szCs w:val="22"/>
        </w:rPr>
        <w:t>4、在本项目招标过程中，评标委员会若对投标人进行现场勘察或实地考察或检验有关证明材料的原件，我公司将随时做好接受检查的准备。</w:t>
      </w:r>
    </w:p>
    <w:p>
      <w:pPr>
        <w:spacing w:after="156" w:afterLines="50"/>
        <w:ind w:firstLine="440" w:firstLineChars="200"/>
        <w:rPr>
          <w:rFonts w:ascii="宋体" w:hAnsi="宋体" w:cs="宋体"/>
          <w:sz w:val="22"/>
          <w:szCs w:val="22"/>
        </w:rPr>
      </w:pPr>
      <w:r>
        <w:rPr>
          <w:rFonts w:hint="eastAsia" w:ascii="宋体" w:hAnsi="宋体" w:cs="宋体"/>
          <w:sz w:val="22"/>
          <w:szCs w:val="22"/>
        </w:rPr>
        <w:t>5、我方承诺所投标（响应）的货物、工程或服务，不存在侵犯知识产权的情况；已知悉并同意中标（成交）结果信息公示（公开）的内容。</w:t>
      </w:r>
    </w:p>
    <w:p>
      <w:pPr>
        <w:spacing w:after="156" w:afterLines="50"/>
        <w:ind w:firstLine="411" w:firstLineChars="196"/>
        <w:rPr>
          <w:rFonts w:ascii="宋体" w:hAnsi="宋体" w:cs="宋体"/>
          <w:szCs w:val="21"/>
        </w:rPr>
      </w:pPr>
    </w:p>
    <w:p>
      <w:pPr>
        <w:spacing w:after="156" w:afterLines="50"/>
        <w:ind w:firstLine="440" w:firstLineChars="200"/>
        <w:rPr>
          <w:rFonts w:ascii="宋体" w:hAnsi="宋体" w:cs="宋体"/>
          <w:sz w:val="22"/>
          <w:szCs w:val="22"/>
        </w:rPr>
      </w:pPr>
      <w:r>
        <w:rPr>
          <w:rFonts w:hint="eastAsia" w:ascii="宋体" w:hAnsi="宋体" w:cs="宋体"/>
          <w:sz w:val="22"/>
          <w:szCs w:val="22"/>
        </w:rPr>
        <w:t>投标人：单位地址：</w:t>
      </w:r>
    </w:p>
    <w:p>
      <w:pPr>
        <w:spacing w:after="156" w:afterLines="50"/>
        <w:ind w:firstLine="440" w:firstLineChars="200"/>
        <w:rPr>
          <w:rFonts w:ascii="宋体" w:hAnsi="宋体" w:cs="宋体"/>
          <w:sz w:val="22"/>
          <w:szCs w:val="22"/>
        </w:rPr>
      </w:pPr>
      <w:r>
        <w:rPr>
          <w:rFonts w:hint="eastAsia" w:ascii="宋体" w:hAnsi="宋体" w:cs="宋体"/>
          <w:sz w:val="22"/>
          <w:szCs w:val="22"/>
        </w:rPr>
        <w:t>法定代表人或其委托代理人：</w:t>
      </w:r>
    </w:p>
    <w:p>
      <w:pPr>
        <w:spacing w:after="156" w:afterLines="50"/>
        <w:ind w:firstLine="440" w:firstLineChars="200"/>
        <w:rPr>
          <w:rFonts w:ascii="宋体" w:hAnsi="宋体" w:cs="宋体"/>
          <w:sz w:val="22"/>
          <w:szCs w:val="22"/>
        </w:rPr>
      </w:pPr>
      <w:r>
        <w:rPr>
          <w:rFonts w:hint="eastAsia" w:ascii="宋体" w:hAnsi="宋体" w:cs="宋体"/>
          <w:sz w:val="22"/>
          <w:szCs w:val="22"/>
        </w:rPr>
        <w:t>邮政编码：电话：传真：</w:t>
      </w:r>
    </w:p>
    <w:p>
      <w:pPr>
        <w:spacing w:after="156" w:afterLines="50"/>
        <w:ind w:firstLine="440" w:firstLineChars="200"/>
        <w:rPr>
          <w:rFonts w:ascii="宋体" w:hAnsi="宋体" w:cs="宋体"/>
          <w:sz w:val="22"/>
          <w:szCs w:val="22"/>
        </w:rPr>
      </w:pPr>
      <w:r>
        <w:rPr>
          <w:rFonts w:hint="eastAsia" w:ascii="宋体" w:hAnsi="宋体" w:cs="宋体"/>
          <w:sz w:val="22"/>
          <w:szCs w:val="22"/>
        </w:rPr>
        <w:t>日期：年月日</w:t>
      </w:r>
    </w:p>
    <w:p>
      <w:pPr>
        <w:spacing w:after="156" w:afterLines="50"/>
        <w:ind w:firstLine="1968" w:firstLineChars="700"/>
        <w:rPr>
          <w:rFonts w:ascii="宋体" w:hAnsi="宋体" w:cs="宋体"/>
          <w:b/>
          <w:bCs/>
          <w:sz w:val="28"/>
          <w:szCs w:val="28"/>
        </w:rPr>
      </w:pPr>
    </w:p>
    <w:p>
      <w:pPr>
        <w:spacing w:after="156" w:afterLines="50"/>
        <w:ind w:firstLine="1968" w:firstLineChars="700"/>
        <w:rPr>
          <w:rFonts w:ascii="宋体" w:hAnsi="宋体" w:cs="宋体"/>
          <w:b/>
          <w:bCs/>
          <w:sz w:val="28"/>
          <w:szCs w:val="28"/>
        </w:rPr>
      </w:pPr>
    </w:p>
    <w:p>
      <w:pPr>
        <w:spacing w:after="156" w:afterLines="50"/>
        <w:ind w:firstLine="1968" w:firstLineChars="700"/>
        <w:rPr>
          <w:rFonts w:ascii="宋体" w:hAnsi="宋体" w:cs="宋体"/>
          <w:sz w:val="28"/>
          <w:szCs w:val="28"/>
        </w:rPr>
      </w:pPr>
      <w:r>
        <w:rPr>
          <w:rFonts w:hint="eastAsia" w:ascii="宋体" w:hAnsi="宋体" w:cs="宋体"/>
          <w:b/>
          <w:bCs/>
          <w:sz w:val="28"/>
          <w:szCs w:val="28"/>
        </w:rPr>
        <w:t>（二）政府采购投标及履约承诺函</w:t>
      </w:r>
    </w:p>
    <w:p>
      <w:pPr>
        <w:spacing w:after="156" w:afterLines="50"/>
        <w:ind w:firstLine="440" w:firstLineChars="200"/>
        <w:rPr>
          <w:rFonts w:ascii="宋体" w:hAnsi="宋体" w:cs="宋体"/>
          <w:sz w:val="22"/>
          <w:szCs w:val="22"/>
        </w:rPr>
      </w:pPr>
    </w:p>
    <w:p>
      <w:pPr>
        <w:spacing w:after="156" w:afterLines="50"/>
        <w:ind w:firstLine="440" w:firstLineChars="200"/>
        <w:rPr>
          <w:rFonts w:ascii="宋体" w:hAnsi="宋体" w:cs="宋体"/>
          <w:sz w:val="22"/>
          <w:szCs w:val="22"/>
        </w:rPr>
      </w:pPr>
      <w:r>
        <w:rPr>
          <w:rFonts w:hint="eastAsia" w:ascii="宋体" w:hAnsi="宋体" w:cs="宋体"/>
          <w:sz w:val="22"/>
          <w:szCs w:val="22"/>
        </w:rPr>
        <w:t>致：深圳市第一职业技术学校</w:t>
      </w:r>
    </w:p>
    <w:p>
      <w:pPr>
        <w:spacing w:after="156" w:afterLines="50"/>
        <w:ind w:firstLine="440" w:firstLineChars="200"/>
        <w:rPr>
          <w:rFonts w:ascii="宋体" w:hAnsi="宋体" w:cs="宋体"/>
          <w:sz w:val="22"/>
          <w:szCs w:val="22"/>
        </w:rPr>
      </w:pPr>
      <w:r>
        <w:rPr>
          <w:rFonts w:hint="eastAsia" w:ascii="宋体" w:hAnsi="宋体" w:cs="宋体"/>
          <w:sz w:val="22"/>
          <w:szCs w:val="22"/>
        </w:rPr>
        <w:t>我单位承诺：</w:t>
      </w:r>
    </w:p>
    <w:p>
      <w:pPr>
        <w:spacing w:after="156" w:afterLines="50"/>
        <w:ind w:firstLine="440" w:firstLineChars="200"/>
        <w:rPr>
          <w:rFonts w:ascii="宋体" w:hAnsi="宋体" w:cs="宋体"/>
          <w:sz w:val="22"/>
          <w:szCs w:val="22"/>
        </w:rPr>
      </w:pPr>
      <w:r>
        <w:rPr>
          <w:rFonts w:hint="eastAsia" w:ascii="宋体" w:hAnsi="宋体" w:cs="宋体"/>
          <w:sz w:val="22"/>
          <w:szCs w:val="22"/>
        </w:rPr>
        <w:t>1.我单位参与本项目所投标（响应）的货物、工程或服务，不存在侵犯知识产权的情况；已知悉并同意中标（成交）结果信息公示（公开）的内容。</w:t>
      </w:r>
    </w:p>
    <w:p>
      <w:pPr>
        <w:spacing w:after="156" w:afterLines="50"/>
        <w:ind w:firstLine="440" w:firstLineChars="200"/>
        <w:rPr>
          <w:rFonts w:ascii="宋体" w:hAnsi="宋体" w:cs="宋体"/>
          <w:sz w:val="22"/>
          <w:szCs w:val="22"/>
        </w:rPr>
      </w:pPr>
      <w:r>
        <w:rPr>
          <w:rFonts w:hint="eastAsia" w:ascii="宋体" w:hAnsi="宋体" w:cs="宋体"/>
          <w:sz w:val="22"/>
          <w:szCs w:val="22"/>
        </w:rPr>
        <w:t>2.我单位参与本项目投标前三年内，在经营活动中没有重大违法记录。</w:t>
      </w:r>
    </w:p>
    <w:p>
      <w:pPr>
        <w:spacing w:after="156" w:afterLines="50"/>
        <w:ind w:firstLine="440" w:firstLineChars="200"/>
        <w:rPr>
          <w:rFonts w:ascii="宋体" w:hAnsi="宋体" w:cs="宋体"/>
          <w:sz w:val="22"/>
          <w:szCs w:val="22"/>
        </w:rPr>
      </w:pPr>
      <w:r>
        <w:rPr>
          <w:rFonts w:hint="eastAsia" w:ascii="宋体" w:hAnsi="宋体" w:cs="宋体"/>
          <w:sz w:val="22"/>
          <w:szCs w:val="22"/>
        </w:rPr>
        <w:t>3.我单位参与本项目政府采购活动时不存在被有关部门禁止参与政府采购活动且在有效期内的情况。</w:t>
      </w:r>
    </w:p>
    <w:p>
      <w:pPr>
        <w:spacing w:after="156" w:afterLines="50"/>
        <w:ind w:firstLine="440" w:firstLineChars="200"/>
        <w:rPr>
          <w:rFonts w:ascii="宋体" w:hAnsi="宋体" w:cs="宋体"/>
          <w:sz w:val="22"/>
          <w:szCs w:val="22"/>
        </w:rPr>
      </w:pPr>
      <w:r>
        <w:rPr>
          <w:rFonts w:hint="eastAsia" w:ascii="宋体" w:hAnsi="宋体" w:cs="宋体"/>
          <w:sz w:val="22"/>
          <w:szCs w:val="22"/>
        </w:rPr>
        <w:t>4.我单位具备《中华人民共和国政府采购法》第二十二条第一款规定的六项条件。</w:t>
      </w:r>
    </w:p>
    <w:p>
      <w:pPr>
        <w:spacing w:after="156" w:afterLines="50"/>
        <w:ind w:firstLine="440" w:firstLineChars="200"/>
        <w:rPr>
          <w:rFonts w:ascii="宋体" w:hAnsi="宋体" w:cs="宋体"/>
          <w:sz w:val="22"/>
          <w:szCs w:val="22"/>
        </w:rPr>
      </w:pPr>
      <w:r>
        <w:rPr>
          <w:rFonts w:hint="eastAsia" w:ascii="宋体" w:hAnsi="宋体" w:cs="宋体"/>
          <w:sz w:val="22"/>
          <w:szCs w:val="22"/>
        </w:rPr>
        <w:t>5.我单位未被列入失信被执行人、重大税收违法案件当事人名单、政府采购严重违法失信行为记录名单。</w:t>
      </w:r>
    </w:p>
    <w:p>
      <w:pPr>
        <w:spacing w:after="156" w:afterLines="50"/>
        <w:ind w:firstLine="440" w:firstLineChars="200"/>
        <w:rPr>
          <w:rFonts w:ascii="宋体" w:hAnsi="宋体" w:cs="宋体"/>
          <w:sz w:val="22"/>
          <w:szCs w:val="22"/>
        </w:rPr>
      </w:pPr>
      <w:r>
        <w:rPr>
          <w:rFonts w:hint="eastAsia" w:ascii="宋体" w:hAnsi="宋体" w:cs="宋体"/>
          <w:sz w:val="22"/>
          <w:szCs w:val="22"/>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spacing w:after="156" w:afterLines="50"/>
        <w:ind w:firstLine="440" w:firstLineChars="200"/>
        <w:rPr>
          <w:rFonts w:ascii="宋体" w:hAnsi="宋体" w:cs="宋体"/>
          <w:sz w:val="22"/>
          <w:szCs w:val="22"/>
        </w:rPr>
      </w:pPr>
      <w:r>
        <w:rPr>
          <w:rFonts w:hint="eastAsia" w:ascii="宋体" w:hAnsi="宋体" w:cs="宋体"/>
          <w:sz w:val="22"/>
          <w:szCs w:val="22"/>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spacing w:after="156" w:afterLines="50"/>
        <w:ind w:firstLine="440" w:firstLineChars="200"/>
        <w:rPr>
          <w:rFonts w:ascii="宋体" w:hAnsi="宋体" w:cs="宋体"/>
          <w:sz w:val="22"/>
          <w:szCs w:val="22"/>
        </w:rPr>
      </w:pPr>
      <w:r>
        <w:rPr>
          <w:rFonts w:hint="eastAsia" w:ascii="宋体" w:hAnsi="宋体" w:cs="宋体"/>
          <w:sz w:val="22"/>
          <w:szCs w:val="22"/>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after="156" w:afterLines="50"/>
        <w:ind w:firstLine="440" w:firstLineChars="200"/>
        <w:rPr>
          <w:rFonts w:ascii="宋体" w:hAnsi="宋体" w:cs="宋体"/>
          <w:sz w:val="22"/>
          <w:szCs w:val="22"/>
        </w:rPr>
      </w:pPr>
      <w:r>
        <w:rPr>
          <w:rFonts w:hint="eastAsia" w:ascii="宋体" w:hAnsi="宋体" w:cs="宋体"/>
          <w:sz w:val="22"/>
          <w:szCs w:val="22"/>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after="156" w:afterLines="50"/>
        <w:ind w:firstLine="440" w:firstLineChars="200"/>
        <w:rPr>
          <w:rFonts w:ascii="宋体" w:hAnsi="宋体" w:cs="宋体"/>
          <w:sz w:val="22"/>
          <w:szCs w:val="22"/>
        </w:rPr>
      </w:pPr>
      <w:r>
        <w:rPr>
          <w:rFonts w:hint="eastAsia" w:ascii="宋体" w:hAnsi="宋体" w:cs="宋体"/>
          <w:sz w:val="22"/>
          <w:szCs w:val="22"/>
        </w:rPr>
        <w:t>9.我单位承诺中标后项目不转包，未经采购人同意不进行分包。</w:t>
      </w:r>
    </w:p>
    <w:p>
      <w:pPr>
        <w:spacing w:after="156" w:afterLines="50"/>
        <w:ind w:firstLine="440" w:firstLineChars="200"/>
        <w:rPr>
          <w:rFonts w:ascii="宋体" w:hAnsi="宋体" w:cs="宋体"/>
          <w:sz w:val="22"/>
          <w:szCs w:val="22"/>
        </w:rPr>
      </w:pPr>
      <w:r>
        <w:rPr>
          <w:rFonts w:hint="eastAsia" w:ascii="宋体" w:hAnsi="宋体" w:cs="宋体"/>
          <w:sz w:val="22"/>
          <w:szCs w:val="22"/>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spacing w:after="156" w:afterLines="50"/>
        <w:ind w:firstLine="440" w:firstLineChars="200"/>
        <w:rPr>
          <w:rFonts w:ascii="宋体" w:hAnsi="宋体" w:cs="宋体"/>
          <w:sz w:val="22"/>
          <w:szCs w:val="22"/>
        </w:rPr>
      </w:pPr>
      <w:r>
        <w:rPr>
          <w:rFonts w:hint="eastAsia" w:ascii="宋体" w:hAnsi="宋体" w:cs="宋体"/>
          <w:sz w:val="22"/>
          <w:szCs w:val="22"/>
        </w:rPr>
        <w:t>11.我单位保证，若所投货物涉及《财政部生态环境部关于印发节能产品政府采购品目清单的通知》（财库〔2019〕19号）列明的政府采购强制产品，则所投该产品符合节能产品的认证要求。</w:t>
      </w:r>
    </w:p>
    <w:p>
      <w:pPr>
        <w:spacing w:after="156" w:afterLines="50"/>
        <w:ind w:firstLine="440" w:firstLineChars="200"/>
        <w:rPr>
          <w:rFonts w:ascii="宋体" w:hAnsi="宋体" w:cs="宋体"/>
          <w:sz w:val="22"/>
          <w:szCs w:val="22"/>
        </w:rPr>
      </w:pPr>
      <w:r>
        <w:rPr>
          <w:rFonts w:hint="eastAsia" w:ascii="宋体" w:hAnsi="宋体" w:cs="宋体"/>
          <w:sz w:val="22"/>
          <w:szCs w:val="22"/>
        </w:rPr>
        <w:t>12.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spacing w:after="156" w:afterLines="50"/>
        <w:ind w:firstLine="440" w:firstLineChars="200"/>
        <w:rPr>
          <w:rFonts w:ascii="宋体" w:hAnsi="宋体" w:cs="宋体"/>
          <w:sz w:val="22"/>
          <w:szCs w:val="22"/>
        </w:rPr>
      </w:pPr>
      <w:r>
        <w:rPr>
          <w:rFonts w:hint="eastAsia" w:ascii="宋体" w:hAnsi="宋体" w:cs="宋体"/>
          <w:sz w:val="22"/>
          <w:szCs w:val="22"/>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pPr>
        <w:spacing w:after="156" w:afterLines="50"/>
        <w:ind w:firstLine="440" w:firstLineChars="200"/>
        <w:rPr>
          <w:rFonts w:ascii="宋体" w:hAnsi="宋体" w:cs="宋体"/>
          <w:sz w:val="22"/>
          <w:szCs w:val="22"/>
        </w:rPr>
      </w:pPr>
      <w:r>
        <w:rPr>
          <w:rFonts w:hint="eastAsia" w:ascii="宋体" w:hAnsi="宋体" w:cs="宋体"/>
          <w:sz w:val="22"/>
          <w:szCs w:val="22"/>
        </w:rPr>
        <w:t>以上承诺，如有违反，愿依照国家相关法律法规处理，并承担由此给采购人带来的损失。</w:t>
      </w:r>
    </w:p>
    <w:p>
      <w:pPr>
        <w:spacing w:after="156" w:afterLines="50"/>
        <w:ind w:firstLine="440" w:firstLineChars="200"/>
        <w:rPr>
          <w:rFonts w:ascii="宋体" w:hAnsi="宋体" w:cs="宋体"/>
          <w:sz w:val="22"/>
          <w:szCs w:val="22"/>
        </w:rPr>
      </w:pPr>
    </w:p>
    <w:p>
      <w:pPr>
        <w:spacing w:after="156" w:afterLines="50"/>
        <w:ind w:firstLine="440" w:firstLineChars="200"/>
        <w:rPr>
          <w:rFonts w:ascii="宋体" w:hAnsi="宋体" w:cs="宋体"/>
          <w:sz w:val="22"/>
          <w:szCs w:val="22"/>
        </w:rPr>
      </w:pPr>
      <w:r>
        <w:rPr>
          <w:rFonts w:hint="eastAsia" w:ascii="宋体" w:hAnsi="宋体" w:cs="宋体"/>
          <w:sz w:val="22"/>
          <w:szCs w:val="22"/>
        </w:rPr>
        <w:t>投标人：</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p>
    <w:p>
      <w:pPr>
        <w:spacing w:after="156" w:afterLines="50"/>
        <w:ind w:firstLine="440" w:firstLineChars="200"/>
        <w:rPr>
          <w:rFonts w:ascii="宋体" w:hAnsi="宋体" w:cs="宋体"/>
          <w:sz w:val="22"/>
          <w:szCs w:val="22"/>
        </w:rPr>
      </w:pPr>
      <w:r>
        <w:rPr>
          <w:rFonts w:hint="eastAsia" w:ascii="宋体" w:hAnsi="宋体" w:cs="宋体"/>
          <w:sz w:val="22"/>
          <w:szCs w:val="22"/>
        </w:rPr>
        <w:t>日期：</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年</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月</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日</w:t>
      </w:r>
    </w:p>
    <w:p>
      <w:pPr>
        <w:spacing w:after="156" w:afterLines="50"/>
        <w:ind w:firstLine="440" w:firstLineChars="200"/>
        <w:rPr>
          <w:rFonts w:ascii="宋体" w:hAnsi="宋体" w:cs="宋体"/>
          <w:sz w:val="22"/>
          <w:szCs w:val="22"/>
        </w:rPr>
      </w:pP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五、投标人情况介绍</w:t>
      </w:r>
    </w:p>
    <w:p>
      <w:pPr>
        <w:spacing w:after="156" w:afterLines="50"/>
        <w:rPr>
          <w:rFonts w:ascii="宋体" w:hAnsi="宋体" w:cs="宋体"/>
          <w:b/>
          <w:bCs/>
          <w:sz w:val="24"/>
        </w:rPr>
      </w:pPr>
      <w:r>
        <w:rPr>
          <w:rFonts w:hint="eastAsia" w:ascii="宋体" w:hAnsi="宋体" w:cs="宋体"/>
          <w:b/>
          <w:bCs/>
          <w:sz w:val="24"/>
        </w:rPr>
        <w:t>（一）投标人资格要求的证明文件</w:t>
      </w:r>
    </w:p>
    <w:p>
      <w:pPr>
        <w:spacing w:after="156" w:afterLines="50"/>
        <w:ind w:firstLine="440" w:firstLineChars="200"/>
        <w:rPr>
          <w:rFonts w:ascii="宋体" w:hAnsi="宋体" w:cs="宋体"/>
          <w:sz w:val="22"/>
          <w:szCs w:val="22"/>
        </w:rPr>
      </w:pPr>
      <w:r>
        <w:rPr>
          <w:rFonts w:hint="eastAsia" w:ascii="宋体" w:hAnsi="宋体" w:cs="宋体"/>
          <w:sz w:val="22"/>
          <w:szCs w:val="22"/>
        </w:rPr>
        <w:t>（1）营业执照（或单位法人登记证等）复印件；</w:t>
      </w:r>
    </w:p>
    <w:p>
      <w:pPr>
        <w:spacing w:after="156" w:afterLines="50"/>
        <w:ind w:firstLine="440" w:firstLineChars="200"/>
        <w:rPr>
          <w:rFonts w:ascii="宋体" w:hAnsi="宋体" w:cs="宋体"/>
          <w:sz w:val="22"/>
          <w:szCs w:val="22"/>
        </w:rPr>
      </w:pPr>
      <w:r>
        <w:rPr>
          <w:rFonts w:hint="eastAsia" w:ascii="宋体" w:hAnsi="宋体" w:cs="宋体"/>
          <w:sz w:val="22"/>
          <w:szCs w:val="22"/>
        </w:rPr>
        <w:t>（2）具有相关经营范围并合法经营的证明文件</w:t>
      </w:r>
    </w:p>
    <w:p>
      <w:pPr>
        <w:spacing w:after="156" w:afterLines="50"/>
        <w:ind w:firstLine="440" w:firstLineChars="200"/>
        <w:rPr>
          <w:rFonts w:ascii="宋体" w:hAnsi="宋体" w:cs="宋体"/>
          <w:sz w:val="22"/>
          <w:szCs w:val="22"/>
        </w:rPr>
      </w:pPr>
      <w:r>
        <w:rPr>
          <w:rFonts w:hint="eastAsia" w:ascii="宋体" w:hAnsi="宋体" w:cs="宋体"/>
          <w:sz w:val="22"/>
          <w:szCs w:val="22"/>
        </w:rPr>
        <w:t>（提供深圳信用网https://www.szcredit.com.cn/查询原件并加盖公章，或信用中国查询证明文件并加盖公章和市场监督管理局关于经营范围的截图。）</w:t>
      </w:r>
    </w:p>
    <w:p>
      <w:pPr>
        <w:outlineLvl w:val="3"/>
        <w:rPr>
          <w:rFonts w:ascii="宋体" w:hAnsi="宋体" w:cs="宋体"/>
          <w:b/>
          <w:bCs/>
          <w:sz w:val="24"/>
        </w:rPr>
      </w:pPr>
      <w:r>
        <w:rPr>
          <w:rFonts w:hint="eastAsia" w:ascii="宋体" w:hAnsi="宋体" w:cs="宋体"/>
          <w:b/>
          <w:bCs/>
          <w:sz w:val="24"/>
        </w:rPr>
        <w:t>（二）近三年同类业绩</w:t>
      </w:r>
    </w:p>
    <w:tbl>
      <w:tblPr>
        <w:tblStyle w:val="14"/>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20"/>
        <w:gridCol w:w="1548"/>
        <w:gridCol w:w="1464"/>
        <w:gridCol w:w="1263"/>
        <w:gridCol w:w="14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6"/>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r>
              <w:rPr>
                <w:rFonts w:hint="eastAsia" w:ascii="宋体" w:hAnsi="宋体" w:cs="宋体"/>
                <w:szCs w:val="21"/>
              </w:rPr>
              <w:t>采购人</w:t>
            </w:r>
          </w:p>
        </w:tc>
        <w:tc>
          <w:tcPr>
            <w:tcW w:w="1820" w:type="dxa"/>
            <w:vAlign w:val="center"/>
          </w:tcPr>
          <w:p>
            <w:pPr>
              <w:rPr>
                <w:rFonts w:ascii="宋体" w:hAnsi="宋体" w:cs="宋体"/>
                <w:szCs w:val="21"/>
              </w:rPr>
            </w:pPr>
            <w:r>
              <w:rPr>
                <w:rFonts w:hint="eastAsia" w:ascii="宋体" w:hAnsi="宋体" w:cs="宋体"/>
                <w:szCs w:val="21"/>
              </w:rPr>
              <w:t>项目名称</w:t>
            </w:r>
          </w:p>
        </w:tc>
        <w:tc>
          <w:tcPr>
            <w:tcW w:w="1548" w:type="dxa"/>
            <w:vAlign w:val="center"/>
          </w:tcPr>
          <w:p>
            <w:pPr>
              <w:rPr>
                <w:rFonts w:ascii="宋体" w:hAnsi="宋体" w:cs="宋体"/>
                <w:szCs w:val="21"/>
              </w:rPr>
            </w:pPr>
            <w:r>
              <w:rPr>
                <w:rFonts w:hint="eastAsia" w:ascii="宋体" w:hAnsi="宋体" w:cs="宋体"/>
                <w:szCs w:val="21"/>
              </w:rPr>
              <w:t>项目规模（金额）</w:t>
            </w:r>
          </w:p>
        </w:tc>
        <w:tc>
          <w:tcPr>
            <w:tcW w:w="1464" w:type="dxa"/>
            <w:vAlign w:val="center"/>
          </w:tcPr>
          <w:p>
            <w:pPr>
              <w:rPr>
                <w:rFonts w:ascii="宋体" w:hAnsi="宋体" w:cs="宋体"/>
                <w:szCs w:val="21"/>
              </w:rPr>
            </w:pPr>
            <w:r>
              <w:rPr>
                <w:rFonts w:hint="eastAsia" w:ascii="宋体" w:hAnsi="宋体" w:cs="宋体"/>
                <w:szCs w:val="21"/>
              </w:rPr>
              <w:t>合同签订日期</w:t>
            </w:r>
          </w:p>
        </w:tc>
        <w:tc>
          <w:tcPr>
            <w:tcW w:w="1263" w:type="dxa"/>
            <w:vAlign w:val="center"/>
          </w:tcPr>
          <w:p>
            <w:pPr>
              <w:rPr>
                <w:rFonts w:ascii="宋体" w:hAnsi="宋体" w:cs="宋体"/>
                <w:szCs w:val="21"/>
              </w:rPr>
            </w:pPr>
            <w:r>
              <w:rPr>
                <w:rFonts w:hint="eastAsia" w:ascii="宋体" w:hAnsi="宋体" w:cs="宋体"/>
                <w:szCs w:val="21"/>
              </w:rPr>
              <w:t>履约验收时间</w:t>
            </w:r>
          </w:p>
        </w:tc>
        <w:tc>
          <w:tcPr>
            <w:tcW w:w="1418" w:type="dxa"/>
            <w:vAlign w:val="center"/>
          </w:tcPr>
          <w:p>
            <w:pPr>
              <w:rPr>
                <w:rFonts w:ascii="宋体" w:hAnsi="宋体" w:cs="宋体"/>
                <w:szCs w:val="21"/>
              </w:rPr>
            </w:pPr>
            <w:r>
              <w:rPr>
                <w:rFonts w:hint="eastAsia" w:ascii="宋体" w:hAnsi="宋体" w:cs="宋体"/>
                <w:szCs w:val="21"/>
              </w:rPr>
              <w:t>完成质量情况（以履约验收报告为准）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bl>
    <w:p>
      <w:pPr>
        <w:widowControl/>
        <w:shd w:val="clear" w:color="auto" w:fill="FFFFFF"/>
        <w:spacing w:line="360" w:lineRule="atLeast"/>
        <w:jc w:val="left"/>
        <w:rPr>
          <w:rFonts w:ascii="微软雅黑" w:hAnsi="微软雅黑" w:eastAsia="微软雅黑" w:cs="微软雅黑"/>
          <w:szCs w:val="21"/>
        </w:rPr>
      </w:pPr>
      <w:r>
        <w:rPr>
          <w:rFonts w:hint="eastAsia" w:ascii="宋体" w:hAnsi="宋体"/>
          <w:kern w:val="0"/>
          <w:sz w:val="22"/>
          <w:szCs w:val="22"/>
          <w:shd w:val="clear" w:color="auto" w:fill="FFFFFF"/>
        </w:rPr>
        <w:t>注：需递交上述项目的证明材料（中标通知书或合同关键页、履约验收报告）复印件（加盖公章），原件备查。</w:t>
      </w:r>
    </w:p>
    <w:p/>
    <w:p>
      <w:pPr>
        <w:outlineLvl w:val="3"/>
        <w:rPr>
          <w:rFonts w:ascii="宋体" w:hAnsi="宋体" w:cs="宋体"/>
          <w:b/>
          <w:sz w:val="24"/>
        </w:rPr>
      </w:pPr>
      <w:r>
        <w:rPr>
          <w:rFonts w:hint="eastAsia" w:ascii="宋体" w:hAnsi="宋体" w:cs="宋体"/>
          <w:b/>
          <w:sz w:val="24"/>
        </w:rPr>
        <w:t>（三）投标人认为需提供的其他证明文件</w:t>
      </w:r>
    </w:p>
    <w:p>
      <w:pPr>
        <w:rPr>
          <w:rFonts w:ascii="宋体" w:hAnsi="宋体" w:cs="宋体"/>
          <w:bCs/>
          <w:szCs w:val="21"/>
        </w:rPr>
      </w:pPr>
      <w:r>
        <w:rPr>
          <w:rFonts w:hint="eastAsia" w:ascii="宋体" w:hAnsi="宋体" w:cs="宋体"/>
          <w:bCs/>
          <w:szCs w:val="21"/>
        </w:rPr>
        <w:t>提供招标公告和评标信息中关于投标人的其他相关证明文件（如评标信息中涉及的各种证件（身份证除外）、设备发票等，未涉及的可以不提供）</w:t>
      </w: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六、分项报价清单</w:t>
      </w: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项目报价表</w:t>
      </w:r>
    </w:p>
    <w:p>
      <w:pPr>
        <w:rPr>
          <w:rFonts w:ascii="宋体" w:hAnsi="宋体" w:cs="宋体"/>
          <w:b/>
          <w:sz w:val="24"/>
        </w:rPr>
      </w:pPr>
    </w:p>
    <w:tbl>
      <w:tblPr>
        <w:tblStyle w:val="1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525"/>
        <w:gridCol w:w="1440"/>
        <w:gridCol w:w="900"/>
        <w:gridCol w:w="720"/>
        <w:gridCol w:w="720"/>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jc w:val="center"/>
              <w:rPr>
                <w:rFonts w:ascii="宋体" w:hAnsi="宋体" w:cs="宋体"/>
                <w:szCs w:val="21"/>
              </w:rPr>
            </w:pPr>
            <w:r>
              <w:rPr>
                <w:rFonts w:hint="eastAsia" w:ascii="宋体" w:hAnsi="宋体" w:cs="宋体"/>
                <w:szCs w:val="21"/>
              </w:rPr>
              <w:t>序号</w:t>
            </w:r>
          </w:p>
        </w:tc>
        <w:tc>
          <w:tcPr>
            <w:tcW w:w="2525" w:type="dxa"/>
            <w:vAlign w:val="center"/>
          </w:tcPr>
          <w:p>
            <w:pPr>
              <w:jc w:val="center"/>
              <w:rPr>
                <w:rFonts w:ascii="宋体" w:hAnsi="宋体" w:cs="宋体"/>
                <w:szCs w:val="21"/>
              </w:rPr>
            </w:pPr>
            <w:r>
              <w:rPr>
                <w:rFonts w:hint="eastAsia" w:ascii="宋体" w:hAnsi="宋体" w:cs="宋体"/>
                <w:szCs w:val="21"/>
              </w:rPr>
              <w:t>货物名称</w:t>
            </w:r>
          </w:p>
        </w:tc>
        <w:tc>
          <w:tcPr>
            <w:tcW w:w="1440" w:type="dxa"/>
            <w:vAlign w:val="center"/>
          </w:tcPr>
          <w:p>
            <w:pPr>
              <w:jc w:val="center"/>
              <w:rPr>
                <w:rFonts w:ascii="宋体" w:hAnsi="宋体" w:cs="宋体"/>
                <w:szCs w:val="21"/>
              </w:rPr>
            </w:pPr>
            <w:r>
              <w:rPr>
                <w:rFonts w:hint="eastAsia" w:ascii="宋体" w:hAnsi="宋体" w:cs="宋体"/>
                <w:szCs w:val="21"/>
              </w:rPr>
              <w:t>规格及型号</w:t>
            </w:r>
          </w:p>
        </w:tc>
        <w:tc>
          <w:tcPr>
            <w:tcW w:w="900" w:type="dxa"/>
            <w:vAlign w:val="center"/>
          </w:tcPr>
          <w:p>
            <w:pPr>
              <w:jc w:val="center"/>
              <w:rPr>
                <w:rFonts w:ascii="宋体" w:hAnsi="宋体" w:cs="宋体"/>
                <w:b/>
                <w:szCs w:val="21"/>
              </w:rPr>
            </w:pPr>
            <w:r>
              <w:rPr>
                <w:rFonts w:hint="eastAsia" w:ascii="宋体" w:hAnsi="宋体" w:cs="宋体"/>
                <w:bCs/>
                <w:szCs w:val="21"/>
              </w:rPr>
              <w:t>原产地</w:t>
            </w:r>
          </w:p>
        </w:tc>
        <w:tc>
          <w:tcPr>
            <w:tcW w:w="720" w:type="dxa"/>
            <w:vAlign w:val="center"/>
          </w:tcPr>
          <w:p>
            <w:pPr>
              <w:jc w:val="center"/>
              <w:rPr>
                <w:rFonts w:ascii="宋体" w:hAnsi="宋体" w:cs="宋体"/>
                <w:szCs w:val="21"/>
              </w:rPr>
            </w:pPr>
            <w:r>
              <w:rPr>
                <w:rFonts w:hint="eastAsia" w:ascii="宋体" w:hAnsi="宋体" w:cs="宋体"/>
                <w:szCs w:val="21"/>
              </w:rPr>
              <w:t>品牌</w:t>
            </w:r>
          </w:p>
        </w:tc>
        <w:tc>
          <w:tcPr>
            <w:tcW w:w="720" w:type="dxa"/>
            <w:vAlign w:val="center"/>
          </w:tcPr>
          <w:p>
            <w:pPr>
              <w:jc w:val="center"/>
              <w:rPr>
                <w:rFonts w:ascii="宋体" w:hAnsi="宋体" w:cs="宋体"/>
                <w:szCs w:val="21"/>
              </w:rPr>
            </w:pPr>
            <w:r>
              <w:rPr>
                <w:rFonts w:hint="eastAsia" w:ascii="宋体" w:hAnsi="宋体" w:cs="宋体"/>
                <w:szCs w:val="21"/>
              </w:rPr>
              <w:t>数量</w:t>
            </w:r>
          </w:p>
        </w:tc>
        <w:tc>
          <w:tcPr>
            <w:tcW w:w="900" w:type="dxa"/>
            <w:vAlign w:val="center"/>
          </w:tcPr>
          <w:p>
            <w:pPr>
              <w:jc w:val="center"/>
              <w:rPr>
                <w:rFonts w:ascii="宋体" w:hAnsi="宋体" w:cs="宋体"/>
                <w:szCs w:val="21"/>
              </w:rPr>
            </w:pPr>
            <w:r>
              <w:rPr>
                <w:rFonts w:hint="eastAsia" w:ascii="宋体" w:hAnsi="宋体" w:cs="宋体"/>
                <w:szCs w:val="21"/>
              </w:rPr>
              <w:t>单价(元)</w:t>
            </w:r>
          </w:p>
        </w:tc>
        <w:tc>
          <w:tcPr>
            <w:tcW w:w="900" w:type="dxa"/>
            <w:vAlign w:val="center"/>
          </w:tcPr>
          <w:p>
            <w:pPr>
              <w:jc w:val="center"/>
              <w:rPr>
                <w:rFonts w:ascii="宋体" w:hAnsi="宋体" w:cs="宋体"/>
                <w:szCs w:val="21"/>
              </w:rPr>
            </w:pPr>
            <w:r>
              <w:rPr>
                <w:rFonts w:hint="eastAsia" w:ascii="宋体" w:hAnsi="宋体" w:cs="宋体"/>
                <w:szCs w:val="21"/>
              </w:rPr>
              <w:t>合价(元)</w:t>
            </w:r>
          </w:p>
        </w:tc>
        <w:tc>
          <w:tcPr>
            <w:tcW w:w="956" w:type="dxa"/>
            <w:vAlign w:val="center"/>
          </w:tcPr>
          <w:p>
            <w:pPr>
              <w:jc w:val="center"/>
              <w:rPr>
                <w:rFonts w:ascii="宋体" w:hAnsi="宋体" w:cs="宋体"/>
                <w:szCs w:val="21"/>
              </w:rPr>
            </w:pPr>
            <w:r>
              <w:rPr>
                <w:rFonts w:hint="eastAsia" w:ascii="宋体" w:hAnsi="宋体" w:cs="宋体"/>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2" w:type="dxa"/>
            <w:gridSpan w:val="7"/>
          </w:tcPr>
          <w:p>
            <w:pPr>
              <w:rPr>
                <w:rFonts w:ascii="宋体" w:hAnsi="宋体" w:cs="宋体"/>
                <w:szCs w:val="21"/>
              </w:rPr>
            </w:pPr>
            <w:r>
              <w:rPr>
                <w:rFonts w:hint="eastAsia" w:ascii="宋体" w:hAnsi="宋体" w:cs="宋体"/>
                <w:szCs w:val="21"/>
              </w:rPr>
              <w:t>合计（即：投标总价；币种：人民币；单位：元）：大写：</w:t>
            </w:r>
          </w:p>
        </w:tc>
        <w:tc>
          <w:tcPr>
            <w:tcW w:w="900" w:type="dxa"/>
          </w:tcPr>
          <w:p>
            <w:pPr>
              <w:rPr>
                <w:rFonts w:ascii="宋体" w:hAnsi="宋体" w:cs="宋体"/>
                <w:szCs w:val="21"/>
              </w:rPr>
            </w:pPr>
          </w:p>
        </w:tc>
        <w:tc>
          <w:tcPr>
            <w:tcW w:w="956" w:type="dxa"/>
          </w:tcPr>
          <w:p>
            <w:pPr>
              <w:rPr>
                <w:rFonts w:ascii="宋体" w:hAnsi="宋体" w:cs="宋体"/>
                <w:szCs w:val="21"/>
              </w:rPr>
            </w:pPr>
          </w:p>
        </w:tc>
      </w:tr>
    </w:tbl>
    <w:p>
      <w:pPr>
        <w:rPr>
          <w:rFonts w:ascii="宋体" w:hAnsi="宋体" w:cs="宋体"/>
          <w:szCs w:val="21"/>
        </w:rPr>
      </w:pPr>
    </w:p>
    <w:p>
      <w:pPr>
        <w:rPr>
          <w:rFonts w:ascii="宋体" w:hAnsi="宋体" w:cs="宋体"/>
          <w:szCs w:val="21"/>
        </w:rPr>
      </w:pPr>
      <w:r>
        <w:rPr>
          <w:rFonts w:hint="eastAsia" w:ascii="宋体" w:hAnsi="宋体" w:cs="宋体"/>
          <w:szCs w:val="21"/>
        </w:rPr>
        <w:t>供应商名称：</w:t>
      </w:r>
    </w:p>
    <w:p>
      <w:pPr>
        <w:rPr>
          <w:rFonts w:ascii="宋体" w:hAnsi="宋体" w:cs="宋体"/>
          <w:szCs w:val="21"/>
        </w:rPr>
      </w:pPr>
      <w:r>
        <w:rPr>
          <w:rFonts w:hint="eastAsia" w:ascii="宋体" w:hAnsi="宋体" w:cs="宋体"/>
          <w:szCs w:val="21"/>
        </w:rPr>
        <w:t>供应商代表姓名：</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注：1.所有价格应按“招标文件”中规定的货币单位填写；</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2.投标总价应为以上各分项价格之和；</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3.本表格式不得修改；</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4.单价、合价和投标总价为包干价，即三者均应包含设备的价款、包装、运输、装卸、安装、调试、技术指导、培训、咨询、服务、保险、税费、检测、验收合格交付使用之前以及技术和售后服务等其他各项有关费用。</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5.投标总价和项目报价表中单个采购预算条目报价均不得超过对应的财政预算限额，否则将导致废标。</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6.开标一览表的投标总价必须与项目报价表的投标总价一致。</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7.“原产地”是指该产品的实际生产加工地，而非品牌总公司所在地。</w:t>
      </w:r>
    </w:p>
    <w:p>
      <w:pPr>
        <w:widowControl/>
        <w:shd w:val="clear" w:color="auto" w:fill="FFFFFF"/>
        <w:spacing w:line="360" w:lineRule="atLeast"/>
        <w:jc w:val="left"/>
        <w:rPr>
          <w:rFonts w:ascii="宋体" w:hAnsi="宋体" w:cs="宋体"/>
          <w:kern w:val="0"/>
          <w:sz w:val="22"/>
          <w:szCs w:val="22"/>
          <w:shd w:val="clear" w:color="auto" w:fill="FFFFFF"/>
        </w:rPr>
      </w:pPr>
    </w:p>
    <w:p>
      <w:pPr>
        <w:pStyle w:val="4"/>
        <w:jc w:val="center"/>
        <w:rPr>
          <w:rFonts w:cs="宋体"/>
          <w:bCs w:val="0"/>
          <w:szCs w:val="28"/>
        </w:rPr>
      </w:pPr>
      <w:r>
        <w:rPr>
          <w:rFonts w:hint="eastAsia" w:cs="宋体"/>
          <w:bCs w:val="0"/>
          <w:szCs w:val="28"/>
        </w:rPr>
        <w:t>七、货物说明一览表</w:t>
      </w:r>
    </w:p>
    <w:p>
      <w:pPr>
        <w:rPr>
          <w:rFonts w:ascii="宋体" w:hAnsi="宋体" w:cs="宋体"/>
          <w:sz w:val="24"/>
        </w:rPr>
      </w:pPr>
    </w:p>
    <w:p>
      <w:pPr>
        <w:rPr>
          <w:rFonts w:ascii="宋体" w:hAnsi="宋体" w:cs="宋体"/>
          <w:szCs w:val="21"/>
          <w:u w:val="single"/>
        </w:rPr>
      </w:pPr>
      <w:r>
        <w:rPr>
          <w:rFonts w:hint="eastAsia" w:ascii="宋体" w:hAnsi="宋体" w:cs="宋体"/>
          <w:szCs w:val="21"/>
        </w:rPr>
        <w:t>投标人名称</w:t>
      </w:r>
    </w:p>
    <w:p>
      <w:pPr>
        <w:pStyle w:val="8"/>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260"/>
        <w:gridCol w:w="1980"/>
        <w:gridCol w:w="126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s="宋体"/>
                <w:szCs w:val="21"/>
              </w:rPr>
            </w:pPr>
            <w:r>
              <w:rPr>
                <w:rFonts w:hint="eastAsia" w:ascii="宋体" w:hAnsi="宋体" w:cs="宋体"/>
                <w:szCs w:val="21"/>
              </w:rPr>
              <w:t>序号</w:t>
            </w:r>
          </w:p>
        </w:tc>
        <w:tc>
          <w:tcPr>
            <w:tcW w:w="1620" w:type="dxa"/>
          </w:tcPr>
          <w:p>
            <w:pPr>
              <w:jc w:val="center"/>
              <w:rPr>
                <w:rFonts w:ascii="宋体" w:hAnsi="宋体" w:cs="宋体"/>
                <w:szCs w:val="21"/>
              </w:rPr>
            </w:pPr>
            <w:r>
              <w:rPr>
                <w:rFonts w:hint="eastAsia" w:ascii="宋体" w:hAnsi="宋体" w:cs="宋体"/>
                <w:szCs w:val="21"/>
              </w:rPr>
              <w:t>货物名称</w:t>
            </w:r>
          </w:p>
        </w:tc>
        <w:tc>
          <w:tcPr>
            <w:tcW w:w="1260" w:type="dxa"/>
          </w:tcPr>
          <w:p>
            <w:pPr>
              <w:jc w:val="center"/>
              <w:rPr>
                <w:rFonts w:ascii="宋体" w:hAnsi="宋体" w:cs="宋体"/>
                <w:szCs w:val="21"/>
              </w:rPr>
            </w:pPr>
            <w:r>
              <w:rPr>
                <w:rFonts w:hint="eastAsia" w:ascii="宋体" w:hAnsi="宋体" w:cs="宋体"/>
                <w:szCs w:val="21"/>
              </w:rPr>
              <w:t>型号</w:t>
            </w:r>
          </w:p>
        </w:tc>
        <w:tc>
          <w:tcPr>
            <w:tcW w:w="1980" w:type="dxa"/>
          </w:tcPr>
          <w:p>
            <w:pPr>
              <w:jc w:val="center"/>
              <w:rPr>
                <w:rFonts w:ascii="宋体" w:hAnsi="宋体" w:cs="宋体"/>
                <w:szCs w:val="21"/>
              </w:rPr>
            </w:pPr>
            <w:r>
              <w:rPr>
                <w:rFonts w:hint="eastAsia" w:ascii="宋体" w:hAnsi="宋体" w:cs="宋体"/>
                <w:szCs w:val="21"/>
              </w:rPr>
              <w:t>技术参数</w:t>
            </w:r>
          </w:p>
        </w:tc>
        <w:tc>
          <w:tcPr>
            <w:tcW w:w="1260" w:type="dxa"/>
          </w:tcPr>
          <w:p>
            <w:pPr>
              <w:jc w:val="center"/>
              <w:rPr>
                <w:rFonts w:ascii="宋体" w:hAnsi="宋体" w:cs="宋体"/>
                <w:szCs w:val="21"/>
              </w:rPr>
            </w:pPr>
            <w:r>
              <w:rPr>
                <w:rFonts w:hint="eastAsia" w:ascii="宋体" w:hAnsi="宋体" w:cs="宋体"/>
                <w:szCs w:val="21"/>
              </w:rPr>
              <w:t>数量</w:t>
            </w:r>
          </w:p>
        </w:tc>
        <w:tc>
          <w:tcPr>
            <w:tcW w:w="1344" w:type="dxa"/>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rPr>
            </w:pPr>
          </w:p>
        </w:tc>
        <w:tc>
          <w:tcPr>
            <w:tcW w:w="1620" w:type="dxa"/>
          </w:tcPr>
          <w:p>
            <w:pPr>
              <w:rPr>
                <w:rFonts w:ascii="宋体" w:hAnsi="宋体" w:cs="宋体"/>
                <w:szCs w:val="21"/>
              </w:rPr>
            </w:pPr>
          </w:p>
        </w:tc>
        <w:tc>
          <w:tcPr>
            <w:tcW w:w="1260" w:type="dxa"/>
          </w:tcPr>
          <w:p>
            <w:pPr>
              <w:rPr>
                <w:rFonts w:ascii="宋体" w:hAnsi="宋体" w:cs="宋体"/>
                <w:szCs w:val="21"/>
              </w:rPr>
            </w:pPr>
          </w:p>
        </w:tc>
        <w:tc>
          <w:tcPr>
            <w:tcW w:w="1980" w:type="dxa"/>
          </w:tcPr>
          <w:p>
            <w:pPr>
              <w:rPr>
                <w:rFonts w:ascii="宋体" w:hAnsi="宋体" w:cs="宋体"/>
                <w:szCs w:val="21"/>
              </w:rPr>
            </w:pPr>
          </w:p>
        </w:tc>
        <w:tc>
          <w:tcPr>
            <w:tcW w:w="1260" w:type="dxa"/>
          </w:tcPr>
          <w:p>
            <w:pPr>
              <w:rPr>
                <w:rFonts w:ascii="宋体" w:hAnsi="宋体" w:cs="宋体"/>
                <w:szCs w:val="21"/>
              </w:rPr>
            </w:pPr>
          </w:p>
        </w:tc>
        <w:tc>
          <w:tcPr>
            <w:tcW w:w="134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rPr>
            </w:pPr>
          </w:p>
        </w:tc>
        <w:tc>
          <w:tcPr>
            <w:tcW w:w="1620" w:type="dxa"/>
          </w:tcPr>
          <w:p>
            <w:pPr>
              <w:rPr>
                <w:rFonts w:ascii="宋体" w:hAnsi="宋体" w:cs="宋体"/>
                <w:szCs w:val="21"/>
              </w:rPr>
            </w:pPr>
          </w:p>
        </w:tc>
        <w:tc>
          <w:tcPr>
            <w:tcW w:w="1260" w:type="dxa"/>
          </w:tcPr>
          <w:p>
            <w:pPr>
              <w:rPr>
                <w:rFonts w:ascii="宋体" w:hAnsi="宋体" w:cs="宋体"/>
                <w:szCs w:val="21"/>
              </w:rPr>
            </w:pPr>
          </w:p>
        </w:tc>
        <w:tc>
          <w:tcPr>
            <w:tcW w:w="1980" w:type="dxa"/>
          </w:tcPr>
          <w:p>
            <w:pPr>
              <w:rPr>
                <w:rFonts w:ascii="宋体" w:hAnsi="宋体" w:cs="宋体"/>
                <w:szCs w:val="21"/>
              </w:rPr>
            </w:pPr>
          </w:p>
        </w:tc>
        <w:tc>
          <w:tcPr>
            <w:tcW w:w="1260" w:type="dxa"/>
          </w:tcPr>
          <w:p>
            <w:pPr>
              <w:rPr>
                <w:rFonts w:ascii="宋体" w:hAnsi="宋体" w:cs="宋体"/>
                <w:szCs w:val="21"/>
              </w:rPr>
            </w:pPr>
          </w:p>
        </w:tc>
        <w:tc>
          <w:tcPr>
            <w:tcW w:w="134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rPr>
            </w:pPr>
          </w:p>
        </w:tc>
        <w:tc>
          <w:tcPr>
            <w:tcW w:w="1620" w:type="dxa"/>
          </w:tcPr>
          <w:p>
            <w:pPr>
              <w:rPr>
                <w:rFonts w:ascii="宋体" w:hAnsi="宋体" w:cs="宋体"/>
                <w:szCs w:val="21"/>
              </w:rPr>
            </w:pPr>
          </w:p>
        </w:tc>
        <w:tc>
          <w:tcPr>
            <w:tcW w:w="1260" w:type="dxa"/>
          </w:tcPr>
          <w:p>
            <w:pPr>
              <w:rPr>
                <w:rFonts w:ascii="宋体" w:hAnsi="宋体" w:cs="宋体"/>
                <w:szCs w:val="21"/>
              </w:rPr>
            </w:pPr>
          </w:p>
        </w:tc>
        <w:tc>
          <w:tcPr>
            <w:tcW w:w="1980" w:type="dxa"/>
          </w:tcPr>
          <w:p>
            <w:pPr>
              <w:rPr>
                <w:rFonts w:ascii="宋体" w:hAnsi="宋体" w:cs="宋体"/>
                <w:szCs w:val="21"/>
              </w:rPr>
            </w:pPr>
          </w:p>
        </w:tc>
        <w:tc>
          <w:tcPr>
            <w:tcW w:w="1260" w:type="dxa"/>
          </w:tcPr>
          <w:p>
            <w:pPr>
              <w:rPr>
                <w:rFonts w:ascii="宋体" w:hAnsi="宋体" w:cs="宋体"/>
                <w:szCs w:val="21"/>
              </w:rPr>
            </w:pPr>
          </w:p>
        </w:tc>
        <w:tc>
          <w:tcPr>
            <w:tcW w:w="134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rPr>
            </w:pPr>
          </w:p>
        </w:tc>
        <w:tc>
          <w:tcPr>
            <w:tcW w:w="1620" w:type="dxa"/>
          </w:tcPr>
          <w:p>
            <w:pPr>
              <w:rPr>
                <w:rFonts w:ascii="宋体" w:hAnsi="宋体" w:cs="宋体"/>
                <w:szCs w:val="21"/>
              </w:rPr>
            </w:pPr>
          </w:p>
        </w:tc>
        <w:tc>
          <w:tcPr>
            <w:tcW w:w="1260" w:type="dxa"/>
          </w:tcPr>
          <w:p>
            <w:pPr>
              <w:rPr>
                <w:rFonts w:ascii="宋体" w:hAnsi="宋体" w:cs="宋体"/>
                <w:szCs w:val="21"/>
              </w:rPr>
            </w:pPr>
          </w:p>
        </w:tc>
        <w:tc>
          <w:tcPr>
            <w:tcW w:w="1980" w:type="dxa"/>
          </w:tcPr>
          <w:p>
            <w:pPr>
              <w:rPr>
                <w:rFonts w:ascii="宋体" w:hAnsi="宋体" w:cs="宋体"/>
                <w:szCs w:val="21"/>
              </w:rPr>
            </w:pPr>
          </w:p>
        </w:tc>
        <w:tc>
          <w:tcPr>
            <w:tcW w:w="1260" w:type="dxa"/>
          </w:tcPr>
          <w:p>
            <w:pPr>
              <w:rPr>
                <w:rFonts w:ascii="宋体" w:hAnsi="宋体" w:cs="宋体"/>
                <w:szCs w:val="21"/>
              </w:rPr>
            </w:pPr>
          </w:p>
        </w:tc>
        <w:tc>
          <w:tcPr>
            <w:tcW w:w="134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rPr>
            </w:pPr>
          </w:p>
        </w:tc>
        <w:tc>
          <w:tcPr>
            <w:tcW w:w="1620" w:type="dxa"/>
          </w:tcPr>
          <w:p>
            <w:pPr>
              <w:rPr>
                <w:rFonts w:ascii="宋体" w:hAnsi="宋体" w:cs="宋体"/>
                <w:szCs w:val="21"/>
              </w:rPr>
            </w:pPr>
          </w:p>
        </w:tc>
        <w:tc>
          <w:tcPr>
            <w:tcW w:w="1260" w:type="dxa"/>
          </w:tcPr>
          <w:p>
            <w:pPr>
              <w:rPr>
                <w:rFonts w:ascii="宋体" w:hAnsi="宋体" w:cs="宋体"/>
                <w:szCs w:val="21"/>
              </w:rPr>
            </w:pPr>
          </w:p>
        </w:tc>
        <w:tc>
          <w:tcPr>
            <w:tcW w:w="1980" w:type="dxa"/>
          </w:tcPr>
          <w:p>
            <w:pPr>
              <w:rPr>
                <w:rFonts w:ascii="宋体" w:hAnsi="宋体" w:cs="宋体"/>
                <w:szCs w:val="21"/>
              </w:rPr>
            </w:pPr>
          </w:p>
        </w:tc>
        <w:tc>
          <w:tcPr>
            <w:tcW w:w="1260" w:type="dxa"/>
          </w:tcPr>
          <w:p>
            <w:pPr>
              <w:rPr>
                <w:rFonts w:ascii="宋体" w:hAnsi="宋体" w:cs="宋体"/>
                <w:szCs w:val="21"/>
              </w:rPr>
            </w:pPr>
          </w:p>
        </w:tc>
        <w:tc>
          <w:tcPr>
            <w:tcW w:w="134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rFonts w:ascii="宋体" w:hAnsi="宋体" w:cs="宋体"/>
                <w:szCs w:val="21"/>
              </w:rPr>
            </w:pPr>
          </w:p>
        </w:tc>
        <w:tc>
          <w:tcPr>
            <w:tcW w:w="1620" w:type="dxa"/>
          </w:tcPr>
          <w:p>
            <w:pPr>
              <w:rPr>
                <w:rFonts w:ascii="宋体" w:hAnsi="宋体" w:cs="宋体"/>
                <w:szCs w:val="21"/>
              </w:rPr>
            </w:pPr>
          </w:p>
        </w:tc>
        <w:tc>
          <w:tcPr>
            <w:tcW w:w="1260" w:type="dxa"/>
          </w:tcPr>
          <w:p>
            <w:pPr>
              <w:rPr>
                <w:rFonts w:ascii="宋体" w:hAnsi="宋体" w:cs="宋体"/>
                <w:szCs w:val="21"/>
              </w:rPr>
            </w:pPr>
          </w:p>
        </w:tc>
        <w:tc>
          <w:tcPr>
            <w:tcW w:w="1980" w:type="dxa"/>
          </w:tcPr>
          <w:p>
            <w:pPr>
              <w:rPr>
                <w:rFonts w:ascii="宋体" w:hAnsi="宋体" w:cs="宋体"/>
                <w:szCs w:val="21"/>
              </w:rPr>
            </w:pPr>
          </w:p>
        </w:tc>
        <w:tc>
          <w:tcPr>
            <w:tcW w:w="1260" w:type="dxa"/>
          </w:tcPr>
          <w:p>
            <w:pPr>
              <w:rPr>
                <w:rFonts w:ascii="宋体" w:hAnsi="宋体" w:cs="宋体"/>
                <w:szCs w:val="21"/>
              </w:rPr>
            </w:pPr>
          </w:p>
        </w:tc>
        <w:tc>
          <w:tcPr>
            <w:tcW w:w="1344" w:type="dxa"/>
          </w:tcPr>
          <w:p>
            <w:pPr>
              <w:rPr>
                <w:rFonts w:ascii="宋体" w:hAnsi="宋体" w:cs="宋体"/>
                <w:szCs w:val="21"/>
              </w:rPr>
            </w:pPr>
          </w:p>
        </w:tc>
      </w:tr>
    </w:tbl>
    <w:p>
      <w:pPr>
        <w:rPr>
          <w:rFonts w:ascii="宋体" w:hAnsi="宋体" w:cs="宋体"/>
          <w:szCs w:val="21"/>
        </w:rPr>
      </w:pPr>
    </w:p>
    <w:p>
      <w:pPr>
        <w:rPr>
          <w:rFonts w:ascii="宋体" w:hAnsi="宋体" w:cs="宋体"/>
          <w:szCs w:val="21"/>
        </w:rPr>
      </w:pPr>
      <w:r>
        <w:rPr>
          <w:rFonts w:hint="eastAsia" w:ascii="宋体" w:hAnsi="宋体" w:cs="宋体"/>
          <w:szCs w:val="21"/>
        </w:rPr>
        <w:t>注：提供</w:t>
      </w:r>
      <w:r>
        <w:rPr>
          <w:rFonts w:hint="eastAsia" w:ascii="宋体" w:hAnsi="宋体" w:cs="宋体"/>
          <w:b/>
          <w:bCs/>
          <w:szCs w:val="21"/>
        </w:rPr>
        <w:t>制造商出具的产品中文说明书、彩页、照片等</w:t>
      </w:r>
      <w:r>
        <w:rPr>
          <w:rFonts w:hint="eastAsia" w:ascii="宋体" w:hAnsi="宋体" w:cs="宋体"/>
          <w:szCs w:val="21"/>
        </w:rPr>
        <w:t>相关资料</w:t>
      </w:r>
    </w:p>
    <w:p>
      <w:pPr>
        <w:rPr>
          <w:rFonts w:ascii="宋体" w:hAnsi="宋体" w:cs="宋体"/>
          <w:sz w:val="24"/>
        </w:rPr>
      </w:pPr>
    </w:p>
    <w:p>
      <w:pPr>
        <w:pStyle w:val="4"/>
        <w:jc w:val="center"/>
        <w:rPr>
          <w:rFonts w:cs="宋体"/>
          <w:bCs w:val="0"/>
          <w:szCs w:val="28"/>
        </w:rPr>
      </w:pPr>
      <w:r>
        <w:rPr>
          <w:rFonts w:hint="eastAsia" w:cs="宋体"/>
          <w:bCs w:val="0"/>
          <w:szCs w:val="28"/>
        </w:rPr>
        <w:t>八、技术规格偏离表</w:t>
      </w:r>
    </w:p>
    <w:p>
      <w:pPr>
        <w:rPr>
          <w:rFonts w:ascii="宋体" w:hAnsi="宋体" w:cs="宋体"/>
          <w:sz w:val="24"/>
        </w:rPr>
      </w:pPr>
    </w:p>
    <w:p>
      <w:pPr>
        <w:rPr>
          <w:rFonts w:ascii="宋体" w:hAnsi="宋体" w:cs="宋体"/>
          <w:szCs w:val="21"/>
          <w:u w:val="single"/>
        </w:rPr>
      </w:pPr>
      <w:r>
        <w:rPr>
          <w:rFonts w:hint="eastAsia" w:ascii="宋体" w:hAnsi="宋体" w:cs="宋体"/>
          <w:szCs w:val="21"/>
        </w:rPr>
        <w:t>投标人名称</w:t>
      </w:r>
    </w:p>
    <w:p>
      <w:pPr>
        <w:pStyle w:val="8"/>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6" w:type="dxa"/>
          </w:tcPr>
          <w:p>
            <w:pPr>
              <w:rPr>
                <w:rFonts w:ascii="宋体" w:hAnsi="宋体" w:cs="宋体"/>
                <w:szCs w:val="21"/>
              </w:rPr>
            </w:pPr>
            <w:r>
              <w:rPr>
                <w:rFonts w:hint="eastAsia" w:ascii="宋体" w:hAnsi="宋体" w:cs="宋体"/>
                <w:szCs w:val="21"/>
              </w:rPr>
              <w:t>序号</w:t>
            </w:r>
          </w:p>
        </w:tc>
        <w:tc>
          <w:tcPr>
            <w:tcW w:w="1356" w:type="dxa"/>
          </w:tcPr>
          <w:p>
            <w:pPr>
              <w:rPr>
                <w:rFonts w:ascii="宋体" w:hAnsi="宋体" w:cs="宋体"/>
                <w:szCs w:val="21"/>
              </w:rPr>
            </w:pPr>
            <w:r>
              <w:rPr>
                <w:rFonts w:hint="eastAsia" w:ascii="宋体" w:hAnsi="宋体" w:cs="宋体"/>
                <w:szCs w:val="21"/>
              </w:rPr>
              <w:t>货物名称</w:t>
            </w:r>
          </w:p>
        </w:tc>
        <w:tc>
          <w:tcPr>
            <w:tcW w:w="1356" w:type="dxa"/>
          </w:tcPr>
          <w:p>
            <w:pPr>
              <w:rPr>
                <w:rFonts w:ascii="宋体" w:hAnsi="宋体" w:cs="宋体"/>
                <w:szCs w:val="21"/>
              </w:rPr>
            </w:pPr>
            <w:r>
              <w:rPr>
                <w:rFonts w:hint="eastAsia" w:ascii="宋体" w:hAnsi="宋体" w:cs="宋体"/>
                <w:szCs w:val="21"/>
              </w:rPr>
              <w:t>招标技术要求</w:t>
            </w:r>
          </w:p>
        </w:tc>
        <w:tc>
          <w:tcPr>
            <w:tcW w:w="1356" w:type="dxa"/>
          </w:tcPr>
          <w:p>
            <w:pPr>
              <w:rPr>
                <w:rFonts w:ascii="宋体" w:hAnsi="宋体" w:cs="宋体"/>
                <w:szCs w:val="21"/>
              </w:rPr>
            </w:pPr>
            <w:r>
              <w:rPr>
                <w:rFonts w:hint="eastAsia" w:ascii="宋体" w:hAnsi="宋体" w:cs="宋体"/>
                <w:szCs w:val="21"/>
              </w:rPr>
              <w:t>投标技术响应</w:t>
            </w:r>
          </w:p>
        </w:tc>
        <w:tc>
          <w:tcPr>
            <w:tcW w:w="1484" w:type="dxa"/>
          </w:tcPr>
          <w:p>
            <w:pPr>
              <w:rPr>
                <w:rFonts w:ascii="宋体" w:hAnsi="宋体" w:cs="宋体"/>
                <w:szCs w:val="21"/>
              </w:rPr>
            </w:pPr>
            <w:r>
              <w:rPr>
                <w:rFonts w:hint="eastAsia" w:ascii="宋体" w:hAnsi="宋体" w:cs="宋体"/>
                <w:szCs w:val="21"/>
              </w:rPr>
              <w:t>偏离情况</w:t>
            </w:r>
          </w:p>
        </w:tc>
        <w:tc>
          <w:tcPr>
            <w:tcW w:w="1530" w:type="dxa"/>
          </w:tcPr>
          <w:p>
            <w:pPr>
              <w:rPr>
                <w:rFonts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484" w:type="dxa"/>
          </w:tcPr>
          <w:p>
            <w:pPr>
              <w:rPr>
                <w:rFonts w:ascii="宋体" w:hAnsi="宋体" w:cs="宋体"/>
                <w:szCs w:val="21"/>
              </w:rPr>
            </w:pPr>
          </w:p>
        </w:tc>
        <w:tc>
          <w:tcPr>
            <w:tcW w:w="153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484" w:type="dxa"/>
          </w:tcPr>
          <w:p>
            <w:pPr>
              <w:rPr>
                <w:rFonts w:ascii="宋体" w:hAnsi="宋体" w:cs="宋体"/>
                <w:szCs w:val="21"/>
              </w:rPr>
            </w:pPr>
          </w:p>
        </w:tc>
        <w:tc>
          <w:tcPr>
            <w:tcW w:w="153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484" w:type="dxa"/>
          </w:tcPr>
          <w:p>
            <w:pPr>
              <w:rPr>
                <w:rFonts w:ascii="宋体" w:hAnsi="宋体" w:cs="宋体"/>
                <w:szCs w:val="21"/>
              </w:rPr>
            </w:pPr>
          </w:p>
        </w:tc>
        <w:tc>
          <w:tcPr>
            <w:tcW w:w="153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484" w:type="dxa"/>
          </w:tcPr>
          <w:p>
            <w:pPr>
              <w:rPr>
                <w:rFonts w:ascii="宋体" w:hAnsi="宋体" w:cs="宋体"/>
                <w:szCs w:val="21"/>
              </w:rPr>
            </w:pPr>
          </w:p>
        </w:tc>
        <w:tc>
          <w:tcPr>
            <w:tcW w:w="153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356" w:type="dxa"/>
          </w:tcPr>
          <w:p>
            <w:pPr>
              <w:rPr>
                <w:rFonts w:ascii="宋体" w:hAnsi="宋体" w:cs="宋体"/>
                <w:szCs w:val="21"/>
              </w:rPr>
            </w:pPr>
          </w:p>
        </w:tc>
        <w:tc>
          <w:tcPr>
            <w:tcW w:w="1484" w:type="dxa"/>
          </w:tcPr>
          <w:p>
            <w:pPr>
              <w:rPr>
                <w:rFonts w:ascii="宋体" w:hAnsi="宋体" w:cs="宋体"/>
                <w:szCs w:val="21"/>
              </w:rPr>
            </w:pPr>
          </w:p>
        </w:tc>
        <w:tc>
          <w:tcPr>
            <w:tcW w:w="1530" w:type="dxa"/>
          </w:tcPr>
          <w:p>
            <w:pPr>
              <w:rPr>
                <w:rFonts w:ascii="宋体" w:hAnsi="宋体" w:cs="宋体"/>
                <w:szCs w:val="21"/>
              </w:rPr>
            </w:pPr>
          </w:p>
        </w:tc>
      </w:tr>
    </w:tbl>
    <w:p>
      <w:pPr>
        <w:rPr>
          <w:rFonts w:ascii="宋体" w:hAnsi="宋体" w:cs="宋体"/>
          <w:szCs w:val="21"/>
        </w:rPr>
      </w:pPr>
      <w:r>
        <w:rPr>
          <w:rFonts w:hint="eastAsia" w:ascii="宋体" w:hAnsi="宋体" w:cs="宋体"/>
          <w:szCs w:val="21"/>
        </w:rPr>
        <w:t>备注：</w:t>
      </w:r>
    </w:p>
    <w:p>
      <w:pPr>
        <w:rPr>
          <w:rFonts w:ascii="宋体" w:hAnsi="宋体" w:cs="宋体"/>
          <w:szCs w:val="21"/>
        </w:rPr>
      </w:pPr>
      <w:r>
        <w:rPr>
          <w:rFonts w:hint="eastAsia" w:ascii="宋体" w:hAnsi="宋体" w:cs="宋体"/>
          <w:szCs w:val="21"/>
        </w:rPr>
        <w:t>1、“招标技术要求”一栏应</w:t>
      </w:r>
      <w:r>
        <w:rPr>
          <w:rFonts w:hint="eastAsia" w:ascii="宋体" w:hAnsi="宋体" w:cs="宋体"/>
          <w:b/>
          <w:szCs w:val="21"/>
        </w:rPr>
        <w:t>填写招标文件第二章</w:t>
      </w:r>
      <w:r>
        <w:rPr>
          <w:rFonts w:hint="eastAsia" w:ascii="宋体" w:hAnsi="宋体" w:cs="宋体"/>
          <w:szCs w:val="21"/>
        </w:rPr>
        <w:t>“三、具体技术要求”的内容；</w:t>
      </w:r>
    </w:p>
    <w:p>
      <w:pPr>
        <w:rPr>
          <w:rFonts w:ascii="宋体" w:hAnsi="宋体" w:cs="宋体"/>
          <w:szCs w:val="21"/>
        </w:rPr>
      </w:pPr>
      <w:r>
        <w:rPr>
          <w:rFonts w:hint="eastAsia" w:ascii="宋体" w:hAnsi="宋体" w:cs="宋体"/>
          <w:szCs w:val="21"/>
        </w:rPr>
        <w:t>2、“投标技术响应”一栏必须详细填写投标产品的具体参数，并应对照招标技术要求一一对应响应；</w:t>
      </w:r>
    </w:p>
    <w:p>
      <w:pPr>
        <w:rPr>
          <w:rFonts w:ascii="宋体" w:hAnsi="宋体" w:cs="宋体"/>
          <w:szCs w:val="21"/>
        </w:rPr>
      </w:pPr>
      <w:r>
        <w:rPr>
          <w:rFonts w:hint="eastAsia" w:ascii="宋体" w:hAnsi="宋体" w:cs="宋体"/>
          <w:szCs w:val="21"/>
        </w:rPr>
        <w:t>3、“偏离情况”一栏应如实填写“正偏离”、“负偏离”或“无偏离”。</w:t>
      </w:r>
    </w:p>
    <w:p>
      <w:pPr>
        <w:rPr>
          <w:rFonts w:ascii="宋体" w:hAnsi="宋体" w:cs="宋体"/>
          <w:szCs w:val="21"/>
        </w:rPr>
      </w:pPr>
      <w:r>
        <w:rPr>
          <w:rFonts w:hint="eastAsia" w:ascii="宋体" w:hAnsi="宋体" w:cs="宋体"/>
          <w:szCs w:val="21"/>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rPr>
          <w:rFonts w:ascii="宋体" w:hAnsi="宋体" w:cs="宋体"/>
          <w:szCs w:val="21"/>
        </w:rPr>
      </w:pPr>
      <w:r>
        <w:rPr>
          <w:rFonts w:hint="eastAsia" w:ascii="宋体" w:hAnsi="宋体" w:cs="宋体"/>
          <w:szCs w:val="21"/>
        </w:rPr>
        <w:t>5、证明资料（均为原件扫描件）的提供要求：</w:t>
      </w:r>
    </w:p>
    <w:p>
      <w:pPr>
        <w:rPr>
          <w:rFonts w:ascii="宋体" w:hAnsi="宋体" w:cs="宋体"/>
          <w:szCs w:val="21"/>
        </w:rPr>
      </w:pPr>
      <w:r>
        <w:rPr>
          <w:rFonts w:hint="eastAsia" w:ascii="宋体" w:hAnsi="宋体" w:cs="宋体"/>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rPr>
          <w:rFonts w:ascii="宋体" w:hAnsi="宋体" w:cs="宋体"/>
          <w:szCs w:val="21"/>
        </w:rPr>
      </w:pPr>
      <w:r>
        <w:rPr>
          <w:rFonts w:hint="eastAsia" w:ascii="宋体" w:hAnsi="宋体" w:cs="宋体"/>
          <w:szCs w:val="21"/>
        </w:rPr>
        <w:t>（2）我国政府机构出具的产品检验和核准证件应为证件正面、背面和附件标注的全部具体内容；产品检验和核准证件的尺寸和清晰度应该能够被阅读、识别和判断。未达到以上提供要求的，评标委员会有权认定为不合格响应，其相关分数予以扣减或作废标处理。</w:t>
      </w:r>
    </w:p>
    <w:p>
      <w:pPr>
        <w:rPr>
          <w:rFonts w:ascii="宋体" w:hAnsi="宋体" w:cs="宋体"/>
          <w:szCs w:val="21"/>
        </w:rPr>
      </w:pPr>
      <w:r>
        <w:rPr>
          <w:rFonts w:hint="eastAsia" w:ascii="宋体" w:hAnsi="宋体" w:cs="宋体"/>
          <w:szCs w:val="21"/>
        </w:rPr>
        <w:t>6、评标委员会有权对以谋取中标为目的的技术规格模糊响应（如有意照搬照抄招标文件的技术要求）或虚假响应予以认定，并视情况经集中采购机构报市政府采购监督管理部门予以处罚。</w:t>
      </w:r>
    </w:p>
    <w:p>
      <w:pPr>
        <w:rPr>
          <w:rFonts w:ascii="宋体" w:hAnsi="宋体" w:cs="宋体"/>
          <w:sz w:val="24"/>
        </w:rPr>
      </w:pPr>
    </w:p>
    <w:p>
      <w:pPr>
        <w:pStyle w:val="4"/>
        <w:jc w:val="center"/>
        <w:rPr>
          <w:rFonts w:cs="宋体"/>
          <w:bCs w:val="0"/>
          <w:szCs w:val="28"/>
        </w:rPr>
      </w:pPr>
      <w:r>
        <w:rPr>
          <w:rFonts w:hint="eastAsia" w:cs="宋体"/>
          <w:bCs w:val="0"/>
          <w:szCs w:val="28"/>
        </w:rPr>
        <w:t>九、商务需求偏离表</w:t>
      </w:r>
    </w:p>
    <w:p>
      <w:pPr>
        <w:rPr>
          <w:rFonts w:ascii="宋体" w:hAnsi="宋体" w:cs="宋体"/>
          <w:b/>
          <w:szCs w:val="21"/>
        </w:rPr>
      </w:pPr>
    </w:p>
    <w:p>
      <w:pPr>
        <w:rPr>
          <w:rFonts w:ascii="宋体" w:hAnsi="宋体" w:cs="宋体"/>
          <w:szCs w:val="21"/>
          <w:u w:val="single"/>
        </w:rPr>
      </w:pPr>
      <w:r>
        <w:rPr>
          <w:rFonts w:hint="eastAsia" w:ascii="宋体" w:hAnsi="宋体" w:cs="宋体"/>
          <w:szCs w:val="21"/>
        </w:rPr>
        <w:t>投标人名称</w:t>
      </w:r>
    </w:p>
    <w:p>
      <w:pPr>
        <w:rPr>
          <w:rFonts w:ascii="宋体" w:hAnsi="宋体" w:cs="宋体"/>
          <w:szCs w:val="21"/>
        </w:rPr>
      </w:pP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序号</w:t>
            </w:r>
          </w:p>
        </w:tc>
        <w:tc>
          <w:tcPr>
            <w:tcW w:w="108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目录</w:t>
            </w:r>
          </w:p>
        </w:tc>
        <w:tc>
          <w:tcPr>
            <w:tcW w:w="198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招标商务条款</w:t>
            </w:r>
          </w:p>
        </w:tc>
        <w:tc>
          <w:tcPr>
            <w:tcW w:w="198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响应商务条款</w:t>
            </w:r>
          </w:p>
        </w:tc>
        <w:tc>
          <w:tcPr>
            <w:tcW w:w="144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偏离情况</w:t>
            </w:r>
          </w:p>
        </w:tc>
        <w:tc>
          <w:tcPr>
            <w:tcW w:w="1164"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r>
              <w:rPr>
                <w:rFonts w:hint="eastAsia" w:ascii="宋体" w:hAnsi="宋体" w:cs="宋体"/>
                <w:szCs w:val="21"/>
              </w:rPr>
              <w:t>1</w:t>
            </w: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r>
              <w:rPr>
                <w:rFonts w:hint="eastAsia" w:ascii="宋体" w:hAnsi="宋体" w:cs="宋体"/>
                <w:szCs w:val="21"/>
              </w:rPr>
              <w:t>2</w:t>
            </w: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r>
              <w:rPr>
                <w:rFonts w:hint="eastAsia" w:ascii="宋体" w:hAnsi="宋体" w:cs="宋体"/>
                <w:szCs w:val="21"/>
              </w:rPr>
              <w:t>……</w:t>
            </w: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bl>
    <w:p>
      <w:pPr>
        <w:rPr>
          <w:rFonts w:ascii="宋体" w:hAnsi="宋体" w:cs="宋体"/>
          <w:szCs w:val="21"/>
        </w:rPr>
      </w:pPr>
      <w:r>
        <w:rPr>
          <w:rFonts w:hint="eastAsia" w:ascii="宋体" w:hAnsi="宋体" w:cs="宋体"/>
          <w:szCs w:val="21"/>
        </w:rPr>
        <w:t>备注：</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1.“商务需求”一栏必须填写采购文件第二章“商务需求”的内容分别对应的内容进行填写。</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2.“投标商务条款”一栏必须详细填写投标商务条款的内容。</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3.“偏离情况”栏中应如实填写“正偏离”、“负偏离”或“无偏离”。</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3.交货期条款为不可负偏离条款，投标文件响应为“负偏离”的，投标文件将按废标处理。</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4.开标一览表中填写的“交货期”必须与本表填写的“交货期”一致。如填写不一致，以开标一览表填写的“交货期”为准。</w:t>
      </w:r>
    </w:p>
    <w:p>
      <w:pPr>
        <w:widowControl/>
        <w:shd w:val="clear" w:color="auto" w:fill="FFFFFF"/>
        <w:spacing w:line="360" w:lineRule="atLeast"/>
        <w:jc w:val="left"/>
        <w:rPr>
          <w:rFonts w:ascii="微软雅黑" w:hAnsi="微软雅黑" w:eastAsia="微软雅黑" w:cs="微软雅黑"/>
          <w:szCs w:val="21"/>
        </w:rPr>
      </w:pPr>
    </w:p>
    <w:p>
      <w:pPr>
        <w:rPr>
          <w:rFonts w:ascii="宋体" w:hAnsi="宋体" w:cs="宋体"/>
        </w:rPr>
      </w:pPr>
    </w:p>
    <w:p>
      <w:pPr>
        <w:pStyle w:val="4"/>
        <w:jc w:val="center"/>
        <w:rPr>
          <w:rFonts w:cs="宋体"/>
          <w:kern w:val="0"/>
          <w:szCs w:val="28"/>
        </w:rPr>
      </w:pPr>
      <w:r>
        <w:rPr>
          <w:rFonts w:hint="eastAsia" w:cs="宋体"/>
          <w:kern w:val="0"/>
          <w:szCs w:val="28"/>
        </w:rPr>
        <w:t>十、技术保障措施</w:t>
      </w:r>
    </w:p>
    <w:p>
      <w:pPr>
        <w:rPr>
          <w:rFonts w:ascii="宋体" w:hAnsi="宋体" w:cs="宋体"/>
        </w:rPr>
      </w:pPr>
      <w:r>
        <w:rPr>
          <w:rFonts w:hint="eastAsia" w:ascii="宋体" w:hAnsi="宋体" w:cs="宋体"/>
        </w:rPr>
        <w:t>格式</w:t>
      </w:r>
      <w:r>
        <w:rPr>
          <w:rFonts w:ascii="宋体" w:hAnsi="宋体" w:cs="宋体"/>
        </w:rPr>
        <w:t>自</w:t>
      </w:r>
      <w:r>
        <w:rPr>
          <w:rFonts w:hint="eastAsia" w:ascii="宋体" w:hAnsi="宋体" w:cs="宋体"/>
        </w:rPr>
        <w:t>拟</w:t>
      </w:r>
      <w:r>
        <w:rPr>
          <w:rFonts w:ascii="宋体" w:hAnsi="宋体" w:cs="宋体"/>
        </w:rPr>
        <w:t>；</w:t>
      </w:r>
    </w:p>
    <w:p>
      <w:pPr>
        <w:rPr>
          <w:rFonts w:ascii="宋体" w:hAnsi="宋体" w:cs="宋体"/>
        </w:rPr>
      </w:pPr>
    </w:p>
    <w:p>
      <w:pPr>
        <w:pStyle w:val="4"/>
        <w:jc w:val="center"/>
        <w:rPr>
          <w:rFonts w:cs="宋体"/>
          <w:kern w:val="0"/>
          <w:szCs w:val="28"/>
        </w:rPr>
      </w:pPr>
      <w:r>
        <w:rPr>
          <w:rFonts w:hint="eastAsia" w:cs="宋体"/>
          <w:kern w:val="0"/>
          <w:szCs w:val="28"/>
        </w:rPr>
        <w:t>十一、</w:t>
      </w:r>
      <w:r>
        <w:rPr>
          <w:rFonts w:hint="eastAsia"/>
        </w:rPr>
        <w:t>故障预案与维保细则</w:t>
      </w:r>
    </w:p>
    <w:p>
      <w:pPr>
        <w:rPr>
          <w:rFonts w:ascii="宋体" w:hAnsi="宋体" w:cs="宋体"/>
        </w:rPr>
      </w:pPr>
      <w:r>
        <w:rPr>
          <w:rFonts w:hint="eastAsia" w:ascii="宋体" w:hAnsi="宋体" w:cs="宋体"/>
        </w:rPr>
        <w:t>格式</w:t>
      </w:r>
      <w:r>
        <w:rPr>
          <w:rFonts w:ascii="宋体" w:hAnsi="宋体" w:cs="宋体"/>
        </w:rPr>
        <w:t>自</w:t>
      </w:r>
      <w:r>
        <w:rPr>
          <w:rFonts w:hint="eastAsia" w:ascii="宋体" w:hAnsi="宋体" w:cs="宋体"/>
        </w:rPr>
        <w:t>拟</w:t>
      </w:r>
      <w:r>
        <w:rPr>
          <w:rFonts w:ascii="宋体" w:hAnsi="宋体" w:cs="宋体"/>
        </w:rPr>
        <w:t>；</w:t>
      </w:r>
    </w:p>
    <w:p>
      <w:pPr>
        <w:rPr>
          <w:rFonts w:ascii="宋体" w:hAnsi="宋体" w:cs="宋体"/>
        </w:rPr>
      </w:pPr>
    </w:p>
    <w:p>
      <w:pPr>
        <w:pStyle w:val="4"/>
        <w:jc w:val="center"/>
        <w:rPr>
          <w:rFonts w:cs="宋体"/>
          <w:kern w:val="0"/>
          <w:szCs w:val="28"/>
        </w:rPr>
      </w:pPr>
      <w:r>
        <w:rPr>
          <w:rFonts w:hint="eastAsia" w:cs="宋体"/>
          <w:kern w:val="0"/>
          <w:szCs w:val="28"/>
        </w:rPr>
        <w:t>十二、售后服务方案</w:t>
      </w:r>
    </w:p>
    <w:p>
      <w:pPr>
        <w:rPr>
          <w:rFonts w:ascii="宋体" w:hAnsi="宋体" w:cs="宋体"/>
          <w:sz w:val="24"/>
        </w:rPr>
      </w:pPr>
    </w:p>
    <w:p>
      <w:pPr>
        <w:rPr>
          <w:rFonts w:ascii="宋体" w:hAnsi="宋体" w:cs="宋体"/>
          <w:szCs w:val="21"/>
        </w:rPr>
      </w:pPr>
      <w:r>
        <w:rPr>
          <w:rFonts w:hint="eastAsia" w:ascii="宋体" w:hAnsi="宋体" w:cs="宋体"/>
          <w:szCs w:val="21"/>
        </w:rPr>
        <w:t>主要内容应包括(根据项目实际情况适当调整内容)：</w:t>
      </w:r>
    </w:p>
    <w:p>
      <w:pPr>
        <w:rPr>
          <w:rFonts w:ascii="宋体" w:hAnsi="宋体" w:cs="宋体"/>
          <w:szCs w:val="21"/>
        </w:rPr>
      </w:pPr>
      <w:r>
        <w:rPr>
          <w:rFonts w:hint="eastAsia" w:ascii="宋体" w:hAnsi="宋体" w:cs="宋体"/>
          <w:szCs w:val="21"/>
        </w:rPr>
        <w:t>（1）整体售后服务方案；</w:t>
      </w:r>
    </w:p>
    <w:p>
      <w:pPr>
        <w:rPr>
          <w:rFonts w:ascii="宋体" w:hAnsi="宋体" w:cs="宋体"/>
          <w:szCs w:val="21"/>
        </w:rPr>
      </w:pPr>
      <w:r>
        <w:rPr>
          <w:rFonts w:hint="eastAsia" w:ascii="宋体" w:hAnsi="宋体" w:cs="宋体"/>
          <w:szCs w:val="21"/>
        </w:rPr>
        <w:t>（2）维修服务队伍；</w:t>
      </w:r>
    </w:p>
    <w:p>
      <w:pPr>
        <w:rPr>
          <w:rFonts w:ascii="宋体" w:hAnsi="宋体" w:cs="宋体"/>
          <w:szCs w:val="21"/>
        </w:rPr>
      </w:pPr>
      <w:r>
        <w:rPr>
          <w:rFonts w:hint="eastAsia" w:ascii="宋体" w:hAnsi="宋体" w:cs="宋体"/>
          <w:szCs w:val="21"/>
        </w:rPr>
        <w:t>（3）维修响应时间；</w:t>
      </w:r>
    </w:p>
    <w:p>
      <w:pPr>
        <w:rPr>
          <w:rFonts w:ascii="宋体" w:hAnsi="宋体" w:cs="宋体"/>
          <w:szCs w:val="21"/>
        </w:rPr>
      </w:pPr>
      <w:r>
        <w:rPr>
          <w:rFonts w:hint="eastAsia" w:ascii="宋体" w:hAnsi="宋体" w:cs="宋体"/>
          <w:szCs w:val="21"/>
        </w:rPr>
        <w:t>（4）配件储备情况。</w:t>
      </w:r>
    </w:p>
    <w:p>
      <w:pPr>
        <w:rPr>
          <w:rFonts w:ascii="宋体" w:hAnsi="宋体" w:cs="宋体"/>
          <w:b/>
          <w:szCs w:val="21"/>
        </w:rPr>
      </w:pPr>
      <w:r>
        <w:rPr>
          <w:rFonts w:hint="eastAsia" w:ascii="宋体" w:hAnsi="宋体" w:cs="宋体"/>
          <w:b/>
          <w:szCs w:val="21"/>
        </w:rPr>
        <w:t>（备注：该部分须与“商务需求”承诺的内容相呼应，不得前后矛盾。）</w:t>
      </w:r>
    </w:p>
    <w:p>
      <w:pPr>
        <w:pStyle w:val="10"/>
        <w:ind w:firstLine="422"/>
        <w:rPr>
          <w:rFonts w:ascii="宋体" w:hAnsi="宋体" w:cs="宋体"/>
          <w:b/>
        </w:rPr>
      </w:pPr>
    </w:p>
    <w:p>
      <w:pPr>
        <w:pStyle w:val="5"/>
      </w:pPr>
    </w:p>
    <w:p>
      <w:pPr>
        <w:pStyle w:val="1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CD0F6"/>
    <w:multiLevelType w:val="singleLevel"/>
    <w:tmpl w:val="B71CD0F6"/>
    <w:lvl w:ilvl="0" w:tentative="0">
      <w:start w:val="2"/>
      <w:numFmt w:val="chineseCounting"/>
      <w:suff w:val="nothing"/>
      <w:lvlText w:val="%1、"/>
      <w:lvlJc w:val="left"/>
      <w:rPr>
        <w:rFonts w:hint="eastAsia"/>
      </w:rPr>
    </w:lvl>
  </w:abstractNum>
  <w:abstractNum w:abstractNumId="1">
    <w:nsid w:val="C994A3E4"/>
    <w:multiLevelType w:val="singleLevel"/>
    <w:tmpl w:val="C994A3E4"/>
    <w:lvl w:ilvl="0" w:tentative="0">
      <w:start w:val="1"/>
      <w:numFmt w:val="decimal"/>
      <w:lvlText w:val="%1."/>
      <w:lvlJc w:val="left"/>
      <w:pPr>
        <w:tabs>
          <w:tab w:val="left" w:pos="312"/>
        </w:tabs>
      </w:pPr>
    </w:lvl>
  </w:abstractNum>
  <w:abstractNum w:abstractNumId="2">
    <w:nsid w:val="18C321E5"/>
    <w:multiLevelType w:val="singleLevel"/>
    <w:tmpl w:val="18C321E5"/>
    <w:lvl w:ilvl="0" w:tentative="0">
      <w:start w:val="1"/>
      <w:numFmt w:val="decimal"/>
      <w:lvlText w:val="%1."/>
      <w:lvlJc w:val="left"/>
      <w:pPr>
        <w:ind w:left="635" w:hanging="425"/>
      </w:pPr>
      <w:rPr>
        <w:rFonts w:hint="default"/>
      </w:rPr>
    </w:lvl>
  </w:abstractNum>
  <w:abstractNum w:abstractNumId="3">
    <w:nsid w:val="20F92DD5"/>
    <w:multiLevelType w:val="multilevel"/>
    <w:tmpl w:val="20F92DD5"/>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C85A461"/>
    <w:multiLevelType w:val="singleLevel"/>
    <w:tmpl w:val="3C85A461"/>
    <w:lvl w:ilvl="0" w:tentative="0">
      <w:start w:val="1"/>
      <w:numFmt w:val="decimal"/>
      <w:suff w:val="nothing"/>
      <w:lvlText w:val="%1、"/>
      <w:lvlJc w:val="left"/>
    </w:lvl>
  </w:abstractNum>
  <w:abstractNum w:abstractNumId="5">
    <w:nsid w:val="62064AA1"/>
    <w:multiLevelType w:val="multilevel"/>
    <w:tmpl w:val="62064AA1"/>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98354F"/>
    <w:multiLevelType w:val="multilevel"/>
    <w:tmpl w:val="7C98354F"/>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zYTQ3ODRmMDI2OGE2ZTdkMWViNzAxOGY4MGE5ZjcifQ=="/>
    <w:docVar w:name="KSO_WPS_MARK_KEY" w:val="756e16de-e7df-4634-93e2-c7ce6f72b5f4"/>
  </w:docVars>
  <w:rsids>
    <w:rsidRoot w:val="008E06EA"/>
    <w:rsid w:val="000958E5"/>
    <w:rsid w:val="001338D7"/>
    <w:rsid w:val="001543A8"/>
    <w:rsid w:val="002B1235"/>
    <w:rsid w:val="002D1886"/>
    <w:rsid w:val="00390C90"/>
    <w:rsid w:val="003C1F11"/>
    <w:rsid w:val="003C75D3"/>
    <w:rsid w:val="00414C11"/>
    <w:rsid w:val="005821A2"/>
    <w:rsid w:val="006E43F1"/>
    <w:rsid w:val="0079565D"/>
    <w:rsid w:val="007F151F"/>
    <w:rsid w:val="008E06EA"/>
    <w:rsid w:val="008E5767"/>
    <w:rsid w:val="00960C58"/>
    <w:rsid w:val="009C137A"/>
    <w:rsid w:val="00A151C1"/>
    <w:rsid w:val="00A2554D"/>
    <w:rsid w:val="00A72C32"/>
    <w:rsid w:val="00AF491E"/>
    <w:rsid w:val="00B626E5"/>
    <w:rsid w:val="00BD34F2"/>
    <w:rsid w:val="00C815FC"/>
    <w:rsid w:val="00CC7DC0"/>
    <w:rsid w:val="00CF7933"/>
    <w:rsid w:val="00D02822"/>
    <w:rsid w:val="00D22651"/>
    <w:rsid w:val="00D415BF"/>
    <w:rsid w:val="00D7132D"/>
    <w:rsid w:val="00DF0DCB"/>
    <w:rsid w:val="00E645A8"/>
    <w:rsid w:val="00F553C3"/>
    <w:rsid w:val="00F820B8"/>
    <w:rsid w:val="03BE6FC6"/>
    <w:rsid w:val="04224B47"/>
    <w:rsid w:val="0A124452"/>
    <w:rsid w:val="0AF17FEF"/>
    <w:rsid w:val="14A050D5"/>
    <w:rsid w:val="231F3C6E"/>
    <w:rsid w:val="26B82091"/>
    <w:rsid w:val="29D55F6E"/>
    <w:rsid w:val="3C602787"/>
    <w:rsid w:val="3DD61CDB"/>
    <w:rsid w:val="411F02FE"/>
    <w:rsid w:val="4E273257"/>
    <w:rsid w:val="508A5624"/>
    <w:rsid w:val="52B37A56"/>
    <w:rsid w:val="52F106D1"/>
    <w:rsid w:val="565A0366"/>
    <w:rsid w:val="56D92D97"/>
    <w:rsid w:val="65166159"/>
    <w:rsid w:val="660F7458"/>
    <w:rsid w:val="665004E8"/>
    <w:rsid w:val="685130EA"/>
    <w:rsid w:val="6BBD7F7B"/>
    <w:rsid w:val="6D5C69C9"/>
    <w:rsid w:val="6EE92007"/>
    <w:rsid w:val="772174F0"/>
    <w:rsid w:val="7EAF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spacing w:before="340" w:after="330" w:line="360" w:lineRule="auto"/>
      <w:jc w:val="center"/>
      <w:outlineLvl w:val="0"/>
    </w:pPr>
    <w:rPr>
      <w:kern w:val="44"/>
      <w:sz w:val="32"/>
      <w:szCs w:val="36"/>
    </w:rPr>
  </w:style>
  <w:style w:type="paragraph" w:styleId="6">
    <w:name w:val="heading 2"/>
    <w:basedOn w:val="4"/>
    <w:next w:val="5"/>
    <w:qFormat/>
    <w:uiPriority w:val="0"/>
    <w:pPr>
      <w:adjustRightInd w:val="0"/>
      <w:jc w:val="center"/>
      <w:textAlignment w:val="baseline"/>
      <w:outlineLvl w:val="1"/>
    </w:pPr>
    <w:rPr>
      <w:bCs w:val="0"/>
      <w:kern w:val="0"/>
      <w:szCs w:val="20"/>
    </w:rPr>
  </w:style>
  <w:style w:type="paragraph" w:styleId="4">
    <w:name w:val="heading 3"/>
    <w:basedOn w:val="5"/>
    <w:next w:val="1"/>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Normal Indent"/>
    <w:basedOn w:val="1"/>
    <w:qFormat/>
    <w:uiPriority w:val="0"/>
    <w:pPr>
      <w:ind w:firstLine="420" w:firstLineChars="200"/>
    </w:pPr>
  </w:style>
  <w:style w:type="paragraph" w:styleId="8">
    <w:name w:val="Body Text"/>
    <w:basedOn w:val="1"/>
    <w:next w:val="1"/>
    <w:qFormat/>
    <w:uiPriority w:val="0"/>
    <w:pPr>
      <w:spacing w:line="360" w:lineRule="auto"/>
    </w:pPr>
    <w:rPr>
      <w:b/>
      <w:bCs/>
      <w:sz w:val="24"/>
    </w:rPr>
  </w:style>
  <w:style w:type="paragraph" w:styleId="9">
    <w:name w:val="Body Text Indent"/>
    <w:basedOn w:val="1"/>
    <w:next w:val="10"/>
    <w:qFormat/>
    <w:uiPriority w:val="0"/>
    <w:pPr>
      <w:spacing w:line="360" w:lineRule="auto"/>
      <w:ind w:firstLine="420" w:firstLineChars="200"/>
    </w:pPr>
  </w:style>
  <w:style w:type="paragraph" w:styleId="10">
    <w:name w:val="Body Text First Indent 2"/>
    <w:basedOn w:val="9"/>
    <w:unhideWhenUsed/>
    <w:qFormat/>
    <w:uiPriority w:val="99"/>
    <w:pPr>
      <w:spacing w:after="120"/>
      <w:ind w:left="420" w:leftChars="200"/>
    </w:pPr>
    <w:rPr>
      <w:rFonts w:ascii="Calibri" w:hAnsi="Calibri"/>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qFormat/>
    <w:uiPriority w:val="0"/>
    <w:rPr>
      <w:sz w:val="24"/>
    </w:rPr>
  </w:style>
  <w:style w:type="table" w:styleId="15">
    <w:name w:val="Table Grid"/>
    <w:basedOn w:val="1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22"/>
    <w:rPr>
      <w:b/>
      <w:bCs/>
    </w:rPr>
  </w:style>
  <w:style w:type="character" w:styleId="18">
    <w:name w:val="FollowedHyperlink"/>
    <w:basedOn w:val="16"/>
    <w:qFormat/>
    <w:uiPriority w:val="0"/>
    <w:rPr>
      <w:color w:val="954F72" w:themeColor="followedHyperlink"/>
      <w:u w:val="single"/>
      <w14:textFill>
        <w14:solidFill>
          <w14:schemeClr w14:val="folHlink"/>
        </w14:solidFill>
      </w14:textFill>
    </w:rPr>
  </w:style>
  <w:style w:type="character" w:styleId="19">
    <w:name w:val="Hyperlink"/>
    <w:unhideWhenUsed/>
    <w:qFormat/>
    <w:uiPriority w:val="99"/>
    <w:rPr>
      <w:color w:val="0000FF"/>
      <w:u w:val="single"/>
    </w:rPr>
  </w:style>
  <w:style w:type="character" w:styleId="20">
    <w:name w:val="annotation reference"/>
    <w:unhideWhenUsed/>
    <w:qFormat/>
    <w:uiPriority w:val="0"/>
    <w:rPr>
      <w:sz w:val="21"/>
      <w:szCs w:val="21"/>
    </w:rPr>
  </w:style>
  <w:style w:type="paragraph" w:customStyle="1" w:styleId="21">
    <w:name w:val="表格文字"/>
    <w:basedOn w:val="1"/>
    <w:qFormat/>
    <w:uiPriority w:val="99"/>
    <w:pPr>
      <w:spacing w:before="25" w:after="25"/>
    </w:pPr>
    <w:rPr>
      <w:spacing w:val="10"/>
      <w:sz w:val="24"/>
    </w:rPr>
  </w:style>
  <w:style w:type="character" w:customStyle="1" w:styleId="22">
    <w:name w:val="标题 3 Char"/>
    <w:qFormat/>
    <w:uiPriority w:val="0"/>
    <w:rPr>
      <w:rFonts w:ascii="黑体" w:eastAsia="黑体"/>
      <w:bCs/>
      <w:sz w:val="30"/>
    </w:rPr>
  </w:style>
  <w:style w:type="character" w:customStyle="1" w:styleId="23">
    <w:name w:val="未处理的提及1"/>
    <w:basedOn w:val="16"/>
    <w:semiHidden/>
    <w:unhideWhenUsed/>
    <w:qFormat/>
    <w:uiPriority w:val="99"/>
    <w:rPr>
      <w:color w:val="605E5C"/>
      <w:shd w:val="clear" w:color="auto" w:fill="E1DFDD"/>
    </w:rPr>
  </w:style>
  <w:style w:type="paragraph" w:customStyle="1" w:styleId="24">
    <w:name w:val="正文正"/>
    <w:basedOn w:val="1"/>
    <w:qFormat/>
    <w:uiPriority w:val="0"/>
    <w:pPr>
      <w:spacing w:line="560" w:lineRule="exact"/>
      <w:ind w:firstLine="561"/>
    </w:pPr>
    <w:rPr>
      <w:rFonts w:ascii="Calibri" w:hAnsi="Calibri"/>
      <w:sz w:val="28"/>
      <w:szCs w:val="28"/>
    </w:rPr>
  </w:style>
  <w:style w:type="paragraph" w:styleId="2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12276</Words>
  <Characters>12857</Characters>
  <Lines>100</Lines>
  <Paragraphs>28</Paragraphs>
  <TotalTime>68</TotalTime>
  <ScaleCrop>false</ScaleCrop>
  <LinksUpToDate>false</LinksUpToDate>
  <CharactersWithSpaces>12869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2024-04-12T02:34:00Z</dcterms:created>
  <dc:creator>Administrator</dc:creator>
  <cp:lastModifiedBy>010</cp:lastModifiedBy>
  <dcterms:modified xsi:type="dcterms:W3CDTF">2024-04-12T06:33:21Z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FF8F35ACAB38484F810C4A6CB98F051A_13</vt:lpwstr>
  </property>
</Properties>
</file>