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0" w:beforeLines="0" w:after="0" w:afterLines="0" w:line="360" w:lineRule="auto"/>
        <w:jc w:val="center"/>
        <w:rPr>
          <w:rFonts w:hint="eastAsia" w:ascii="华文中宋" w:hAnsi="华文中宋" w:eastAsia="华文中宋" w:cs="华文中宋"/>
          <w:sz w:val="44"/>
          <w:szCs w:val="44"/>
        </w:rPr>
      </w:pPr>
      <w:bookmarkStart w:id="0" w:name="_Toc172657075"/>
      <w:r>
        <w:rPr>
          <w:rFonts w:hint="eastAsia" w:ascii="华文中宋" w:hAnsi="华文中宋" w:eastAsia="华文中宋" w:cs="华文中宋"/>
          <w:sz w:val="44"/>
          <w:szCs w:val="44"/>
          <w:lang w:val="en-US" w:eastAsia="zh-CN"/>
        </w:rPr>
        <w:t>市一职校职教园校区</w:t>
      </w:r>
      <w:r>
        <w:rPr>
          <w:rFonts w:hint="eastAsia" w:ascii="华文中宋" w:hAnsi="华文中宋" w:eastAsia="华文中宋" w:cs="华文中宋"/>
          <w:sz w:val="44"/>
          <w:szCs w:val="44"/>
        </w:rPr>
        <w:t>项目（一期）</w:t>
      </w:r>
    </w:p>
    <w:p>
      <w:pPr>
        <w:pStyle w:val="2"/>
        <w:numPr>
          <w:ilvl w:val="0"/>
          <w:numId w:val="0"/>
        </w:numPr>
        <w:spacing w:before="0" w:beforeLines="0" w:after="0" w:afterLines="0" w:line="360" w:lineRule="auto"/>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lang w:val="en-US" w:eastAsia="zh-CN"/>
        </w:rPr>
        <w:t>初步勘察报告等编制</w:t>
      </w:r>
      <w:r>
        <w:rPr>
          <w:rFonts w:hint="eastAsia" w:ascii="华文中宋" w:hAnsi="华文中宋" w:eastAsia="华文中宋" w:cs="华文中宋"/>
          <w:sz w:val="44"/>
          <w:szCs w:val="44"/>
        </w:rPr>
        <w:t>经费测算</w:t>
      </w:r>
      <w:bookmarkEnd w:id="0"/>
    </w:p>
    <w:p>
      <w:pPr>
        <w:rPr>
          <w:rFonts w:hint="eastAsia"/>
        </w:rPr>
      </w:pPr>
    </w:p>
    <w:p>
      <w:pPr>
        <w:spacing w:line="560" w:lineRule="exact"/>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lang w:val="en-US" w:eastAsia="zh-CN"/>
        </w:rPr>
        <w:t>一、测算金额</w:t>
      </w:r>
    </w:p>
    <w:p>
      <w:pPr>
        <w:spacing w:line="560" w:lineRule="exact"/>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参考相关收费标准，经费测算总额为：</w:t>
      </w:r>
      <w:r>
        <w:rPr>
          <w:rFonts w:hint="eastAsia" w:ascii="仿宋" w:hAnsi="仿宋" w:eastAsia="仿宋" w:cs="仿宋"/>
          <w:b w:val="0"/>
          <w:bCs w:val="0"/>
          <w:sz w:val="32"/>
          <w:szCs w:val="32"/>
          <w:lang w:val="en-US" w:eastAsia="zh-CN"/>
        </w:rPr>
        <w:t>19.6</w:t>
      </w:r>
      <w:r>
        <w:rPr>
          <w:rFonts w:hint="eastAsia" w:ascii="仿宋" w:hAnsi="仿宋" w:eastAsia="仿宋" w:cs="仿宋"/>
          <w:b w:val="0"/>
          <w:bCs w:val="0"/>
          <w:sz w:val="32"/>
          <w:szCs w:val="32"/>
        </w:rPr>
        <w:t>万元，明细如下。</w:t>
      </w:r>
    </w:p>
    <w:tbl>
      <w:tblPr>
        <w:tblStyle w:val="5"/>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394"/>
        <w:gridCol w:w="156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56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序号</w:t>
            </w:r>
          </w:p>
        </w:tc>
        <w:tc>
          <w:tcPr>
            <w:tcW w:w="4394" w:type="dxa"/>
            <w:vAlign w:val="center"/>
          </w:tcPr>
          <w:p>
            <w:pPr>
              <w:spacing w:line="56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工作类别</w:t>
            </w:r>
          </w:p>
        </w:tc>
        <w:tc>
          <w:tcPr>
            <w:tcW w:w="1560" w:type="dxa"/>
            <w:vAlign w:val="center"/>
          </w:tcPr>
          <w:p>
            <w:pPr>
              <w:spacing w:line="56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经费测算</w:t>
            </w:r>
          </w:p>
          <w:p>
            <w:pPr>
              <w:spacing w:line="56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（万元）</w:t>
            </w:r>
          </w:p>
        </w:tc>
        <w:tc>
          <w:tcPr>
            <w:tcW w:w="1984" w:type="dxa"/>
            <w:vAlign w:val="center"/>
          </w:tcPr>
          <w:p>
            <w:pPr>
              <w:spacing w:line="56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spacing w:line="56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1</w:t>
            </w:r>
          </w:p>
        </w:tc>
        <w:tc>
          <w:tcPr>
            <w:tcW w:w="4394" w:type="dxa"/>
            <w:vAlign w:val="center"/>
          </w:tcPr>
          <w:p>
            <w:pPr>
              <w:spacing w:line="560" w:lineRule="exact"/>
              <w:rPr>
                <w:rFonts w:hint="eastAsia" w:ascii="楷体_GB2312" w:hAnsi="楷体_GB2312" w:eastAsia="楷体_GB2312" w:cs="楷体_GB2312"/>
                <w:b/>
                <w:bCs/>
                <w:kern w:val="2"/>
                <w:sz w:val="24"/>
                <w:szCs w:val="24"/>
                <w:lang w:val="en-GB" w:eastAsia="zh-CN" w:bidi="ar-SA"/>
              </w:rPr>
            </w:pPr>
            <w:r>
              <w:rPr>
                <w:rFonts w:hint="eastAsia" w:ascii="楷体_GB2312" w:hAnsi="楷体_GB2312" w:eastAsia="楷体_GB2312" w:cs="楷体_GB2312"/>
                <w:b/>
                <w:bCs/>
                <w:sz w:val="24"/>
                <w:szCs w:val="24"/>
                <w:lang w:val="en-US" w:eastAsia="zh-CN"/>
              </w:rPr>
              <w:t>岩土工程勘察</w:t>
            </w:r>
            <w:r>
              <w:rPr>
                <w:rFonts w:hint="eastAsia" w:ascii="楷体_GB2312" w:hAnsi="楷体_GB2312" w:eastAsia="楷体_GB2312" w:cs="楷体_GB2312"/>
                <w:b/>
                <w:bCs/>
                <w:sz w:val="24"/>
                <w:szCs w:val="24"/>
                <w:lang w:val="en-US" w:eastAsia="zh-CN"/>
              </w:rPr>
              <w:br w:type="textWrapping"/>
            </w:r>
            <w:r>
              <w:rPr>
                <w:rFonts w:hint="eastAsia" w:ascii="楷体_GB2312" w:hAnsi="楷体_GB2312" w:eastAsia="楷体_GB2312" w:cs="楷体_GB2312"/>
                <w:b/>
                <w:bCs/>
                <w:sz w:val="24"/>
                <w:szCs w:val="24"/>
                <w:lang w:val="en-US" w:eastAsia="zh-CN"/>
              </w:rPr>
              <w:t>（陆地作业勘察、水上作业勘察等）</w:t>
            </w:r>
          </w:p>
        </w:tc>
        <w:tc>
          <w:tcPr>
            <w:tcW w:w="1560" w:type="dxa"/>
            <w:vAlign w:val="center"/>
          </w:tcPr>
          <w:p>
            <w:pPr>
              <w:spacing w:line="560" w:lineRule="exact"/>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sz w:val="24"/>
                <w:szCs w:val="24"/>
                <w:lang w:val="en-US" w:eastAsia="zh-CN"/>
              </w:rPr>
              <w:t xml:space="preserve">11.6 </w:t>
            </w:r>
          </w:p>
        </w:tc>
        <w:tc>
          <w:tcPr>
            <w:tcW w:w="1984" w:type="dxa"/>
            <w:vAlign w:val="center"/>
          </w:tcPr>
          <w:p>
            <w:pPr>
              <w:spacing w:line="560" w:lineRule="exact"/>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sz w:val="24"/>
                <w:szCs w:val="24"/>
                <w:lang w:val="en-US" w:eastAsia="zh-CN"/>
              </w:rPr>
              <w:t>勘孔孔点29个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spacing w:line="56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2</w:t>
            </w:r>
          </w:p>
        </w:tc>
        <w:tc>
          <w:tcPr>
            <w:tcW w:w="4394" w:type="dxa"/>
            <w:vAlign w:val="center"/>
          </w:tcPr>
          <w:p>
            <w:pPr>
              <w:spacing w:line="560" w:lineRule="exact"/>
              <w:rPr>
                <w:rFonts w:hint="eastAsia" w:ascii="楷体_GB2312" w:hAnsi="楷体_GB2312" w:eastAsia="楷体_GB2312" w:cs="楷体_GB2312"/>
                <w:b/>
                <w:bCs/>
                <w:kern w:val="2"/>
                <w:sz w:val="24"/>
                <w:szCs w:val="24"/>
                <w:lang w:val="en-GB" w:eastAsia="zh-CN" w:bidi="ar-SA"/>
              </w:rPr>
            </w:pPr>
            <w:r>
              <w:rPr>
                <w:rFonts w:hint="eastAsia" w:ascii="楷体_GB2312" w:hAnsi="楷体_GB2312" w:eastAsia="楷体_GB2312" w:cs="楷体_GB2312"/>
                <w:b/>
                <w:bCs/>
                <w:sz w:val="24"/>
                <w:szCs w:val="24"/>
                <w:lang w:val="en-US" w:eastAsia="zh-CN"/>
              </w:rPr>
              <w:t>地质灾害危险性评估</w:t>
            </w:r>
          </w:p>
        </w:tc>
        <w:tc>
          <w:tcPr>
            <w:tcW w:w="1560" w:type="dxa"/>
            <w:vAlign w:val="center"/>
          </w:tcPr>
          <w:p>
            <w:pPr>
              <w:spacing w:line="560" w:lineRule="exact"/>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sz w:val="24"/>
                <w:szCs w:val="24"/>
                <w:lang w:val="en-US" w:eastAsia="zh-CN"/>
              </w:rPr>
              <w:t>8</w:t>
            </w:r>
          </w:p>
        </w:tc>
        <w:tc>
          <w:tcPr>
            <w:tcW w:w="1984" w:type="dxa"/>
            <w:vAlign w:val="center"/>
          </w:tcPr>
          <w:p>
            <w:pPr>
              <w:spacing w:line="560" w:lineRule="exact"/>
              <w:rPr>
                <w:rFonts w:hint="eastAsia" w:ascii="楷体_GB2312" w:hAnsi="楷体_GB2312" w:eastAsia="楷体_GB2312" w:cs="楷体_GB2312"/>
                <w:b/>
                <w:bCs/>
                <w:kern w:val="2"/>
                <w:sz w:val="24"/>
                <w:szCs w:val="24"/>
                <w:lang w:val="en-US" w:eastAsia="zh-CN" w:bidi="ar-SA"/>
              </w:rPr>
            </w:pPr>
            <w:r>
              <w:rPr>
                <w:rFonts w:hint="eastAsia" w:ascii="楷体_GB2312" w:hAnsi="楷体_GB2312" w:eastAsia="楷体_GB2312" w:cs="楷体_GB2312"/>
                <w:b/>
                <w:bCs/>
                <w:sz w:val="24"/>
                <w:szCs w:val="24"/>
                <w:lang w:val="en-US" w:eastAsia="zh-CN"/>
              </w:rPr>
              <w:t>暂定为一级评估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8" w:type="dxa"/>
            <w:gridSpan w:val="2"/>
          </w:tcPr>
          <w:p>
            <w:pPr>
              <w:spacing w:line="56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合计</w:t>
            </w:r>
          </w:p>
        </w:tc>
        <w:tc>
          <w:tcPr>
            <w:tcW w:w="1560" w:type="dxa"/>
            <w:vAlign w:val="center"/>
          </w:tcPr>
          <w:p>
            <w:pPr>
              <w:spacing w:line="56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val="en-US" w:eastAsia="zh-CN"/>
              </w:rPr>
              <w:t>19.6</w:t>
            </w:r>
            <w:r>
              <w:rPr>
                <w:rFonts w:hint="eastAsia" w:ascii="楷体_GB2312" w:hAnsi="楷体_GB2312" w:eastAsia="楷体_GB2312" w:cs="楷体_GB2312"/>
                <w:b/>
                <w:bCs/>
                <w:sz w:val="24"/>
                <w:szCs w:val="24"/>
              </w:rPr>
              <w:t>万元</w:t>
            </w:r>
          </w:p>
        </w:tc>
        <w:tc>
          <w:tcPr>
            <w:tcW w:w="1984" w:type="dxa"/>
          </w:tcPr>
          <w:p>
            <w:pPr>
              <w:spacing w:line="560" w:lineRule="exact"/>
              <w:jc w:val="lef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以实际发生工作量结算。</w:t>
            </w:r>
          </w:p>
        </w:tc>
      </w:tr>
    </w:tbl>
    <w:p>
      <w:pPr>
        <w:widowControl/>
        <w:jc w:val="lef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br w:type="page"/>
      </w:r>
    </w:p>
    <w:p>
      <w:pPr>
        <w:spacing w:line="560" w:lineRule="exact"/>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二、测算过程</w:t>
      </w:r>
    </w:p>
    <w:p>
      <w:pPr>
        <w:spacing w:line="560" w:lineRule="exact"/>
        <w:ind w:firstLine="643" w:firstLineChars="200"/>
        <w:jc w:val="left"/>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1、勘察任务确认</w:t>
      </w:r>
    </w:p>
    <w:p>
      <w:pPr>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经报市教育局同意，市一职校职教园项目（一期）拟在职教园5号地块上进行规划建设。市职教园项目总师单位市建科院为本次项目用地初步勘察出具了工程地质勘察任务书，明确了此次初步勘察的具体要求。根据任务书，确定此次勘察任务包括岩土工程勘察（陆地作业勘察、水上作业勘察等）和地质灾害危险性评估，并对各项任务提出了具体要求。</w:t>
      </w:r>
    </w:p>
    <w:p>
      <w:pPr>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《岩土工程与水文地质</w:t>
      </w:r>
      <w:r>
        <w:rPr>
          <w:rFonts w:hint="eastAsia" w:ascii="仿宋" w:hAnsi="仿宋" w:eastAsia="仿宋" w:cs="仿宋"/>
          <w:b/>
          <w:bCs/>
          <w:sz w:val="32"/>
          <w:szCs w:val="32"/>
          <w:lang w:val="en-US" w:eastAsia="zh-CN"/>
        </w:rPr>
        <w:t>初步</w:t>
      </w:r>
      <w:r>
        <w:rPr>
          <w:rFonts w:hint="eastAsia" w:ascii="仿宋" w:hAnsi="仿宋" w:eastAsia="仿宋" w:cs="仿宋"/>
          <w:b/>
          <w:bCs/>
          <w:sz w:val="32"/>
          <w:szCs w:val="32"/>
        </w:rPr>
        <w:t>勘察报告</w:t>
      </w:r>
      <w:r>
        <w:rPr>
          <w:rFonts w:hint="eastAsia" w:ascii="仿宋" w:hAnsi="仿宋" w:eastAsia="仿宋" w:cs="仿宋"/>
          <w:b/>
          <w:bCs/>
          <w:sz w:val="32"/>
          <w:szCs w:val="32"/>
          <w:lang w:eastAsia="zh-CN"/>
        </w:rPr>
        <w:t>》</w:t>
      </w:r>
      <w:r>
        <w:rPr>
          <w:rFonts w:hint="eastAsia" w:ascii="仿宋" w:hAnsi="仿宋" w:eastAsia="仿宋" w:cs="仿宋"/>
          <w:b/>
          <w:bCs/>
          <w:sz w:val="32"/>
          <w:szCs w:val="32"/>
        </w:rPr>
        <w:t>编制费用测算</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取费依据：</w:t>
      </w:r>
      <w:r>
        <w:rPr>
          <w:rFonts w:hint="eastAsia" w:ascii="仿宋" w:hAnsi="仿宋" w:eastAsia="仿宋" w:cs="仿宋"/>
          <w:sz w:val="32"/>
          <w:szCs w:val="32"/>
          <w:lang w:val="en-US" w:eastAsia="zh-CN"/>
        </w:rPr>
        <w:t>参照市场</w:t>
      </w:r>
      <w:r>
        <w:rPr>
          <w:rFonts w:hint="eastAsia" w:ascii="仿宋_GB2312" w:hAnsi="仿宋_GB2312" w:eastAsia="仿宋_GB2312" w:cs="仿宋_GB2312"/>
          <w:color w:val="000000"/>
          <w:kern w:val="0"/>
          <w:sz w:val="32"/>
          <w:szCs w:val="32"/>
          <w:lang w:val="en-US" w:eastAsia="zh-CN" w:bidi="ar"/>
        </w:rPr>
        <w:t>询价价格</w:t>
      </w:r>
      <w:r>
        <w:rPr>
          <w:rFonts w:hint="eastAsia" w:ascii="仿宋" w:hAnsi="仿宋" w:eastAsia="仿宋" w:cs="仿宋"/>
          <w:sz w:val="32"/>
          <w:szCs w:val="32"/>
        </w:rPr>
        <w:t>。</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费用计算：</w:t>
      </w:r>
    </w:p>
    <w:p>
      <w:pPr>
        <w:spacing w:line="560" w:lineRule="exact"/>
        <w:ind w:firstLine="640" w:firstLineChars="200"/>
        <w:jc w:val="left"/>
        <w:rPr>
          <w:rFonts w:hint="eastAsia" w:ascii="仿宋" w:hAnsi="仿宋" w:eastAsia="仿宋" w:cs="仿宋"/>
          <w:b w:val="0"/>
          <w:bCs w:val="0"/>
          <w:sz w:val="32"/>
          <w:szCs w:val="32"/>
        </w:rPr>
      </w:pPr>
      <w:r>
        <w:rPr>
          <w:rFonts w:hint="default" w:ascii="仿宋_GB2312" w:hAnsi="仿宋_GB2312" w:eastAsia="仿宋_GB2312" w:cs="仿宋_GB2312"/>
          <w:color w:val="000000"/>
          <w:kern w:val="0"/>
          <w:sz w:val="32"/>
          <w:szCs w:val="32"/>
          <w:lang w:val="en-US" w:eastAsia="zh-CN" w:bidi="ar"/>
        </w:rPr>
        <w:t>本次勘孔孔点共29个，一般性勘探孔共</w:t>
      </w:r>
      <w:r>
        <w:rPr>
          <w:rFonts w:hint="eastAsia" w:ascii="仿宋_GB2312" w:hAnsi="仿宋_GB2312" w:eastAsia="仿宋_GB2312" w:cs="仿宋_GB2312"/>
          <w:color w:val="000000"/>
          <w:kern w:val="0"/>
          <w:sz w:val="32"/>
          <w:szCs w:val="32"/>
          <w:lang w:val="en-US" w:eastAsia="zh-CN" w:bidi="ar"/>
        </w:rPr>
        <w:t>23</w:t>
      </w:r>
      <w:r>
        <w:rPr>
          <w:rFonts w:hint="default" w:ascii="仿宋_GB2312" w:hAnsi="仿宋_GB2312" w:eastAsia="仿宋_GB2312" w:cs="仿宋_GB2312"/>
          <w:color w:val="000000"/>
          <w:kern w:val="0"/>
          <w:sz w:val="32"/>
          <w:szCs w:val="32"/>
          <w:lang w:val="en-US" w:eastAsia="zh-CN" w:bidi="ar"/>
        </w:rPr>
        <w:t>个，控制性勘探孔共</w:t>
      </w:r>
      <w:r>
        <w:rPr>
          <w:rFonts w:hint="eastAsia" w:ascii="仿宋_GB2312" w:hAnsi="仿宋_GB2312" w:eastAsia="仿宋_GB2312" w:cs="仿宋_GB2312"/>
          <w:color w:val="000000"/>
          <w:kern w:val="0"/>
          <w:sz w:val="32"/>
          <w:szCs w:val="32"/>
          <w:lang w:val="en-US" w:eastAsia="zh-CN" w:bidi="ar"/>
        </w:rPr>
        <w:t>6</w:t>
      </w:r>
      <w:r>
        <w:rPr>
          <w:rFonts w:hint="default" w:ascii="仿宋_GB2312" w:hAnsi="仿宋_GB2312" w:eastAsia="仿宋_GB2312" w:cs="仿宋_GB2312"/>
          <w:color w:val="000000"/>
          <w:kern w:val="0"/>
          <w:sz w:val="32"/>
          <w:szCs w:val="32"/>
          <w:lang w:val="en-US" w:eastAsia="zh-CN" w:bidi="ar"/>
        </w:rPr>
        <w:t>个，一般性勘孔深度10~15m，控制性勘孔深度15~30m</w:t>
      </w:r>
      <w:r>
        <w:rPr>
          <w:rFonts w:hint="eastAsia" w:ascii="仿宋_GB2312" w:hAnsi="仿宋_GB2312" w:eastAsia="仿宋_GB2312" w:cs="仿宋_GB2312"/>
          <w:color w:val="000000"/>
          <w:kern w:val="0"/>
          <w:sz w:val="32"/>
          <w:szCs w:val="32"/>
          <w:lang w:val="en-US" w:eastAsia="zh-CN" w:bidi="ar"/>
        </w:rPr>
        <w:t>，故钻孔共525米，按照市场价格220元/米计算，</w:t>
      </w:r>
      <w:r>
        <w:rPr>
          <w:rFonts w:hint="eastAsia" w:ascii="仿宋" w:hAnsi="仿宋" w:eastAsia="仿宋" w:cs="仿宋"/>
          <w:sz w:val="32"/>
          <w:szCs w:val="32"/>
          <w:lang w:val="en-US" w:eastAsia="zh-CN"/>
        </w:rPr>
        <w:t>本项目</w:t>
      </w:r>
      <w:r>
        <w:rPr>
          <w:rFonts w:hint="eastAsia" w:ascii="仿宋" w:hAnsi="仿宋" w:eastAsia="仿宋" w:cs="仿宋"/>
          <w:b w:val="0"/>
          <w:bCs w:val="0"/>
          <w:sz w:val="32"/>
          <w:szCs w:val="32"/>
        </w:rPr>
        <w:t>岩土工程与水文地质</w:t>
      </w:r>
      <w:r>
        <w:rPr>
          <w:rFonts w:hint="eastAsia" w:ascii="仿宋" w:hAnsi="仿宋" w:eastAsia="仿宋" w:cs="仿宋"/>
          <w:b w:val="0"/>
          <w:bCs w:val="0"/>
          <w:sz w:val="32"/>
          <w:szCs w:val="32"/>
          <w:lang w:val="en-US" w:eastAsia="zh-CN"/>
        </w:rPr>
        <w:t>初步</w:t>
      </w:r>
      <w:r>
        <w:rPr>
          <w:rFonts w:hint="eastAsia" w:ascii="仿宋" w:hAnsi="仿宋" w:eastAsia="仿宋" w:cs="仿宋"/>
          <w:b w:val="0"/>
          <w:bCs w:val="0"/>
          <w:sz w:val="32"/>
          <w:szCs w:val="32"/>
        </w:rPr>
        <w:t>勘察报告编制费用</w:t>
      </w:r>
      <w:r>
        <w:rPr>
          <w:rFonts w:hint="eastAsia" w:ascii="仿宋" w:hAnsi="仿宋" w:eastAsia="仿宋" w:cs="仿宋"/>
          <w:b w:val="0"/>
          <w:bCs w:val="0"/>
          <w:sz w:val="32"/>
          <w:szCs w:val="32"/>
          <w:lang w:val="en-US" w:eastAsia="zh-CN"/>
        </w:rPr>
        <w:t>为</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220</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525</w:t>
      </w:r>
      <w:r>
        <w:rPr>
          <w:rFonts w:hint="default" w:ascii="Arial" w:hAnsi="Arial" w:eastAsia="仿宋" w:cs="Arial"/>
          <w:b w:val="0"/>
          <w:bCs w:val="0"/>
          <w:sz w:val="32"/>
          <w:szCs w:val="32"/>
        </w:rPr>
        <w:t>≈</w:t>
      </w:r>
      <w:r>
        <w:rPr>
          <w:rFonts w:hint="eastAsia" w:ascii="仿宋" w:hAnsi="仿宋" w:eastAsia="仿宋" w:cs="仿宋"/>
          <w:b w:val="0"/>
          <w:bCs w:val="0"/>
          <w:sz w:val="32"/>
          <w:szCs w:val="32"/>
          <w:lang w:val="en-US" w:eastAsia="zh-CN"/>
        </w:rPr>
        <w:t>11.6</w:t>
      </w:r>
      <w:r>
        <w:rPr>
          <w:rFonts w:hint="eastAsia" w:ascii="仿宋" w:hAnsi="仿宋" w:eastAsia="仿宋" w:cs="仿宋"/>
          <w:b w:val="0"/>
          <w:bCs w:val="0"/>
          <w:sz w:val="32"/>
          <w:szCs w:val="32"/>
        </w:rPr>
        <w:t>万元。</w:t>
      </w:r>
    </w:p>
    <w:p>
      <w:pPr>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地质灾害评估</w:t>
      </w:r>
      <w:r>
        <w:rPr>
          <w:rFonts w:hint="eastAsia" w:ascii="仿宋" w:hAnsi="仿宋" w:eastAsia="仿宋" w:cs="仿宋"/>
          <w:b/>
          <w:bCs/>
          <w:sz w:val="32"/>
          <w:szCs w:val="32"/>
          <w:lang w:eastAsia="zh-CN"/>
        </w:rPr>
        <w:t>报告》</w:t>
      </w:r>
      <w:r>
        <w:rPr>
          <w:rFonts w:hint="eastAsia" w:ascii="仿宋" w:hAnsi="仿宋" w:eastAsia="仿宋" w:cs="仿宋"/>
          <w:b/>
          <w:bCs/>
          <w:sz w:val="32"/>
          <w:szCs w:val="32"/>
        </w:rPr>
        <w:t>编制费用测算</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取费依据：《广东省地质灾害危险性评估取费指导价格》</w:t>
      </w:r>
      <w:r>
        <w:rPr>
          <w:rFonts w:hint="eastAsia" w:ascii="仿宋" w:hAnsi="仿宋" w:eastAsia="仿宋" w:cs="仿宋"/>
          <w:sz w:val="32"/>
          <w:szCs w:val="32"/>
          <w:lang w:val="en-US" w:eastAsia="zh-CN"/>
        </w:rPr>
        <w:t>及市场价格</w:t>
      </w:r>
      <w:r>
        <w:rPr>
          <w:rFonts w:hint="eastAsia" w:ascii="仿宋" w:hAnsi="仿宋" w:eastAsia="仿宋" w:cs="仿宋"/>
          <w:sz w:val="32"/>
          <w:szCs w:val="32"/>
        </w:rPr>
        <w:t>。</w:t>
      </w:r>
    </w:p>
    <w:p>
      <w:pPr>
        <w:spacing w:line="240" w:lineRule="auto"/>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9865" cy="4486275"/>
            <wp:effectExtent l="0" t="0" r="6985" b="9525"/>
            <wp:docPr id="15" name="图片 15" descr="172376845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723768451160"/>
                    <pic:cNvPicPr>
                      <a:picLocks noChangeAspect="1"/>
                    </pic:cNvPicPr>
                  </pic:nvPicPr>
                  <pic:blipFill>
                    <a:blip r:embed="rId4"/>
                    <a:stretch>
                      <a:fillRect/>
                    </a:stretch>
                  </pic:blipFill>
                  <pic:spPr>
                    <a:xfrm>
                      <a:off x="0" y="0"/>
                      <a:ext cx="5269865" cy="4486275"/>
                    </a:xfrm>
                    <a:prstGeom prst="rect">
                      <a:avLst/>
                    </a:prstGeom>
                  </pic:spPr>
                </pic:pic>
              </a:graphicData>
            </a:graphic>
          </wp:inline>
        </w:drawing>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费用计算：</w:t>
      </w:r>
    </w:p>
    <w:p>
      <w:pPr>
        <w:spacing w:line="560" w:lineRule="exact"/>
        <w:ind w:firstLine="640" w:firstLineChars="200"/>
        <w:jc w:val="left"/>
        <w:rPr>
          <w:rFonts w:hint="eastAsia" w:ascii="仿宋" w:hAnsi="仿宋" w:eastAsia="仿宋" w:cs="仿宋"/>
          <w:b w:val="0"/>
          <w:bCs w:val="0"/>
          <w:sz w:val="32"/>
          <w:szCs w:val="32"/>
        </w:rPr>
      </w:pPr>
      <w:r>
        <w:rPr>
          <w:rFonts w:hint="default" w:ascii="仿宋_GB2312" w:hAnsi="仿宋_GB2312" w:eastAsia="仿宋_GB2312" w:cs="仿宋_GB2312"/>
          <w:color w:val="000000"/>
          <w:kern w:val="0"/>
          <w:sz w:val="32"/>
          <w:szCs w:val="32"/>
          <w:lang w:val="en-US" w:eastAsia="zh-CN" w:bidi="ar"/>
        </w:rPr>
        <w:t>本</w:t>
      </w:r>
      <w:r>
        <w:rPr>
          <w:rFonts w:hint="eastAsia" w:ascii="仿宋_GB2312" w:hAnsi="仿宋_GB2312" w:eastAsia="仿宋_GB2312" w:cs="仿宋_GB2312"/>
          <w:color w:val="000000"/>
          <w:kern w:val="0"/>
          <w:sz w:val="32"/>
          <w:szCs w:val="32"/>
          <w:lang w:val="en-US" w:eastAsia="zh-CN" w:bidi="ar"/>
        </w:rPr>
        <w:t>项目地质灾害评估暂定为一级标准评估，按照市场价格，</w:t>
      </w:r>
      <w:r>
        <w:rPr>
          <w:rFonts w:hint="eastAsia" w:ascii="仿宋" w:hAnsi="仿宋" w:eastAsia="仿宋" w:cs="仿宋"/>
          <w:sz w:val="32"/>
          <w:szCs w:val="32"/>
          <w:lang w:val="en-US" w:eastAsia="zh-CN"/>
        </w:rPr>
        <w:t>本项目</w:t>
      </w:r>
      <w:r>
        <w:rPr>
          <w:rFonts w:hint="eastAsia" w:ascii="仿宋" w:hAnsi="仿宋" w:eastAsia="仿宋" w:cs="仿宋"/>
          <w:b w:val="0"/>
          <w:bCs w:val="0"/>
          <w:sz w:val="32"/>
          <w:szCs w:val="32"/>
          <w:lang w:val="en-US" w:eastAsia="zh-CN"/>
        </w:rPr>
        <w:t>地质灾害评估</w:t>
      </w:r>
      <w:r>
        <w:rPr>
          <w:rFonts w:hint="eastAsia" w:ascii="仿宋" w:hAnsi="仿宋" w:eastAsia="仿宋" w:cs="仿宋"/>
          <w:b w:val="0"/>
          <w:bCs w:val="0"/>
          <w:sz w:val="32"/>
          <w:szCs w:val="32"/>
        </w:rPr>
        <w:t>报告编制费用</w:t>
      </w:r>
      <w:r>
        <w:rPr>
          <w:rFonts w:hint="eastAsia" w:ascii="仿宋" w:hAnsi="仿宋" w:eastAsia="仿宋" w:cs="仿宋"/>
          <w:b w:val="0"/>
          <w:bCs w:val="0"/>
          <w:sz w:val="32"/>
          <w:szCs w:val="32"/>
          <w:lang w:val="en-US" w:eastAsia="zh-CN"/>
        </w:rPr>
        <w:t>为8</w:t>
      </w:r>
      <w:r>
        <w:rPr>
          <w:rFonts w:hint="eastAsia" w:ascii="仿宋" w:hAnsi="仿宋" w:eastAsia="仿宋" w:cs="仿宋"/>
          <w:b w:val="0"/>
          <w:bCs w:val="0"/>
          <w:sz w:val="32"/>
          <w:szCs w:val="32"/>
        </w:rPr>
        <w:t>万元。</w:t>
      </w:r>
    </w:p>
    <w:p>
      <w:pPr>
        <w:numPr>
          <w:ilvl w:val="0"/>
          <w:numId w:val="0"/>
        </w:num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综上，</w:t>
      </w:r>
      <w:r>
        <w:rPr>
          <w:rFonts w:hint="eastAsia" w:ascii="仿宋" w:hAnsi="仿宋" w:eastAsia="仿宋" w:cs="仿宋"/>
          <w:sz w:val="32"/>
          <w:szCs w:val="32"/>
          <w:lang w:val="en-US" w:eastAsia="zh-CN"/>
        </w:rPr>
        <w:t>本项目初步勘察报告总体</w:t>
      </w:r>
      <w:r>
        <w:rPr>
          <w:rFonts w:hint="eastAsia" w:ascii="仿宋" w:hAnsi="仿宋" w:eastAsia="仿宋" w:cs="仿宋"/>
          <w:sz w:val="32"/>
          <w:szCs w:val="32"/>
        </w:rPr>
        <w:t>编制费用合计：</w:t>
      </w:r>
      <w:r>
        <w:rPr>
          <w:rFonts w:hint="eastAsia" w:ascii="仿宋" w:hAnsi="仿宋" w:eastAsia="仿宋" w:cs="仿宋"/>
          <w:sz w:val="32"/>
          <w:szCs w:val="32"/>
          <w:lang w:val="en-US" w:eastAsia="zh-CN"/>
        </w:rPr>
        <w:t>11.6</w:t>
      </w: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val="en-US" w:eastAsia="zh-CN"/>
        </w:rPr>
        <w:t>19.6</w:t>
      </w:r>
      <w:r>
        <w:rPr>
          <w:rFonts w:hint="eastAsia" w:ascii="仿宋" w:hAnsi="仿宋" w:eastAsia="仿宋" w:cs="仿宋"/>
          <w:sz w:val="32"/>
          <w:szCs w:val="32"/>
        </w:rPr>
        <w:t>万元。</w:t>
      </w:r>
      <w:bookmarkStart w:id="1" w:name="_GoBack"/>
      <w:bookmarkEnd w:id="1"/>
    </w:p>
    <w:p>
      <w:pPr>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p>
    <w:p>
      <w:pPr>
        <w:spacing w:line="560" w:lineRule="exact"/>
        <w:jc w:val="left"/>
        <w:rPr>
          <w:rFonts w:hint="eastAsia" w:ascii="仿宋" w:hAnsi="仿宋" w:eastAsia="仿宋" w:cs="仿宋"/>
          <w:b w:val="0"/>
          <w:bCs w:val="0"/>
          <w:sz w:val="32"/>
          <w:szCs w:val="32"/>
        </w:rPr>
      </w:pPr>
    </w:p>
    <w:p>
      <w:pPr>
        <w:spacing w:line="560" w:lineRule="exact"/>
        <w:ind w:firstLine="640" w:firstLineChars="200"/>
        <w:jc w:val="left"/>
        <w:rPr>
          <w:rFonts w:hint="default" w:ascii="仿宋" w:hAnsi="仿宋" w:eastAsia="仿宋" w:cs="仿宋"/>
          <w:b w:val="0"/>
          <w:bCs w:val="0"/>
          <w:sz w:val="32"/>
          <w:szCs w:val="32"/>
          <w:lang w:val="en-US" w:eastAsia="zh-CN"/>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A3780"/>
    <w:multiLevelType w:val="multilevel"/>
    <w:tmpl w:val="5A3A3780"/>
    <w:lvl w:ilvl="0" w:tentative="0">
      <w:start w:val="1"/>
      <w:numFmt w:val="chineseCountingThousand"/>
      <w:pStyle w:val="2"/>
      <w:suff w:val="nothing"/>
      <w:lvlText w:val="%1、"/>
      <w:lvlJc w:val="left"/>
      <w:pPr>
        <w:ind w:left="987" w:hanging="425"/>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isLgl/>
      <w:suff w:val="space"/>
      <w:lvlText w:val="%1.%2"/>
      <w:lvlJc w:val="left"/>
      <w:pPr>
        <w:ind w:left="567" w:hanging="567"/>
      </w:pPr>
      <w:rPr>
        <w:rFonts w:hint="default" w:asciiTheme="minorHAnsi" w:hAnsiTheme="minorHAnsi" w:cstheme="minorHAnsi"/>
        <w:b/>
        <w:color w:val="auto"/>
      </w:rPr>
    </w:lvl>
    <w:lvl w:ilvl="2" w:tentative="0">
      <w:start w:val="1"/>
      <w:numFmt w:val="decimal"/>
      <w:isLgl/>
      <w:suff w:val="space"/>
      <w:lvlText w:val="%1.%2.%3"/>
      <w:lvlJc w:val="left"/>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isLgl/>
      <w:suff w:val="space"/>
      <w:lvlText w:val="%1.%2.%3.%4"/>
      <w:lvlJc w:val="left"/>
      <w:pPr>
        <w:ind w:left="851" w:hanging="851"/>
      </w:pPr>
      <w:rPr>
        <w:rFonts w:hint="default" w:asciiTheme="majorHAnsi" w:hAnsiTheme="majorHAnsi" w:cstheme="majorHAnsi"/>
      </w:rPr>
    </w:lvl>
    <w:lvl w:ilvl="4" w:tentative="0">
      <w:start w:val="1"/>
      <w:numFmt w:val="decimal"/>
      <w:isLgl/>
      <w:suff w:val="space"/>
      <w:lvlText w:val="%1.%2.%3.%4.%5"/>
      <w:lvlJc w:val="left"/>
      <w:pPr>
        <w:ind w:left="992" w:hanging="992"/>
      </w:pPr>
      <w:rPr>
        <w:rFonts w:hint="eastAsia"/>
      </w:rPr>
    </w:lvl>
    <w:lvl w:ilvl="5" w:tentative="0">
      <w:start w:val="1"/>
      <w:numFmt w:val="decimal"/>
      <w:isLgl/>
      <w:suff w:val="space"/>
      <w:lvlText w:val="%1.%2.%3.%4.%5.%6"/>
      <w:lvlJc w:val="left"/>
      <w:pPr>
        <w:ind w:left="1134" w:hanging="1134"/>
      </w:pPr>
      <w:rPr>
        <w:rFonts w:hint="eastAsia"/>
      </w:rPr>
    </w:lvl>
    <w:lvl w:ilvl="6" w:tentative="0">
      <w:start w:val="1"/>
      <w:numFmt w:val="decimal"/>
      <w:isLgl/>
      <w:suff w:val="space"/>
      <w:lvlText w:val="%1.%2.%3.%4.%5.%6.%7"/>
      <w:lvlJc w:val="left"/>
      <w:pPr>
        <w:ind w:left="1276" w:hanging="1276"/>
      </w:pPr>
      <w:rPr>
        <w:rFonts w:hint="eastAsia"/>
      </w:rPr>
    </w:lvl>
    <w:lvl w:ilvl="7" w:tentative="0">
      <w:start w:val="1"/>
      <w:numFmt w:val="decimal"/>
      <w:isLgl/>
      <w:suff w:val="space"/>
      <w:lvlText w:val="%1.%2.%3.%4.%5.%6.%7.%8"/>
      <w:lvlJc w:val="left"/>
      <w:pPr>
        <w:ind w:left="1418" w:hanging="1418"/>
      </w:pPr>
      <w:rPr>
        <w:rFonts w:hint="eastAsia"/>
      </w:rPr>
    </w:lvl>
    <w:lvl w:ilvl="8" w:tentative="0">
      <w:start w:val="1"/>
      <w:numFmt w:val="decimal"/>
      <w:isLgl/>
      <w:suff w:val="space"/>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OWJkNmE3ZTRiNjU4NzBhZTVhYTFmY2Q5YWEzODcifQ=="/>
  </w:docVars>
  <w:rsids>
    <w:rsidRoot w:val="79200E4B"/>
    <w:rsid w:val="06142DC4"/>
    <w:rsid w:val="0FD961A1"/>
    <w:rsid w:val="1A8A565C"/>
    <w:rsid w:val="1B372EF5"/>
    <w:rsid w:val="1D6458E7"/>
    <w:rsid w:val="1FC35DD8"/>
    <w:rsid w:val="237815D0"/>
    <w:rsid w:val="2ACC5E4D"/>
    <w:rsid w:val="2ACF5F79"/>
    <w:rsid w:val="372E2279"/>
    <w:rsid w:val="37D270A9"/>
    <w:rsid w:val="43B95907"/>
    <w:rsid w:val="53513120"/>
    <w:rsid w:val="585D2567"/>
    <w:rsid w:val="5DDB7196"/>
    <w:rsid w:val="62541E32"/>
    <w:rsid w:val="6C907086"/>
    <w:rsid w:val="72EC5172"/>
    <w:rsid w:val="74EB6B4F"/>
    <w:rsid w:val="79200E4B"/>
    <w:rsid w:val="7B43445F"/>
    <w:rsid w:val="7CC04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center"/>
    </w:pPr>
    <w:rPr>
      <w:rFonts w:asciiTheme="minorHAnsi" w:hAnsiTheme="minorHAnsi" w:eastAsiaTheme="minorEastAsia" w:cstheme="minorBidi"/>
      <w:kern w:val="2"/>
      <w:sz w:val="21"/>
      <w:szCs w:val="22"/>
      <w:lang w:val="en-GB" w:eastAsia="zh-CN" w:bidi="ar-SA"/>
    </w:rPr>
  </w:style>
  <w:style w:type="paragraph" w:styleId="2">
    <w:name w:val="heading 1"/>
    <w:basedOn w:val="3"/>
    <w:next w:val="1"/>
    <w:qFormat/>
    <w:uiPriority w:val="9"/>
    <w:pPr>
      <w:numPr>
        <w:ilvl w:val="0"/>
        <w:numId w:val="1"/>
      </w:numPr>
      <w:spacing w:before="50" w:beforeLines="50" w:after="50" w:afterLines="50" w:line="480" w:lineRule="auto"/>
      <w:ind w:firstLine="0" w:firstLineChars="0"/>
      <w:jc w:val="left"/>
      <w:outlineLvl w:val="0"/>
    </w:pPr>
    <w:rPr>
      <w:b/>
      <w:sz w:val="32"/>
      <w:szCs w:val="3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List Paragraph"/>
    <w:basedOn w:val="1"/>
    <w:autoRedefine/>
    <w:qFormat/>
    <w:uiPriority w:val="34"/>
    <w:pPr>
      <w:ind w:firstLine="420" w:firstLineChars="200"/>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1143</Words>
  <Characters>1277</Characters>
  <Lines>0</Lines>
  <Paragraphs>0</Paragraphs>
  <TotalTime>3</TotalTime>
  <ScaleCrop>false</ScaleCrop>
  <LinksUpToDate>false</LinksUpToDate>
  <CharactersWithSpaces>1283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2024-08-15T11:59:00Z</dcterms:created>
  <dc:creator>admin</dc:creator>
  <cp:lastModifiedBy>admin</cp:lastModifiedBy>
  <dcterms:modified xsi:type="dcterms:W3CDTF">2024-08-18T12:18:25Z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15C93A359AB844ED870C7106C4B2D399_11</vt:lpwstr>
  </property>
</Properties>
</file>